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802A4" w:rsidRDefault="00AE5DE8" w14:paraId="068B95E4" w14:textId="77777777">
      <w:r>
        <w:rPr>
          <w:noProof/>
        </w:rPr>
        <w:drawing>
          <wp:anchor distT="0" distB="0" distL="114300" distR="114300" simplePos="0" relativeHeight="251657216" behindDoc="0" locked="0" layoutInCell="1" allowOverlap="1" wp14:anchorId="6999A220" wp14:editId="45ED9292">
            <wp:simplePos x="0" y="0"/>
            <wp:positionH relativeFrom="margin">
              <wp:align>left</wp:align>
            </wp:positionH>
            <wp:positionV relativeFrom="line">
              <wp:align>top</wp:align>
            </wp:positionV>
            <wp:extent cx="1056005" cy="1156970"/>
            <wp:effectExtent l="0" t="0" r="0" b="0"/>
            <wp:wrapSquare wrapText="bothSides"/>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61CC8ED" wp14:editId="5954F66D">
            <wp:simplePos x="0" y="0"/>
            <wp:positionH relativeFrom="margin">
              <wp:align>right</wp:align>
            </wp:positionH>
            <wp:positionV relativeFrom="line">
              <wp:align>top</wp:align>
            </wp:positionV>
            <wp:extent cx="854710" cy="1526540"/>
            <wp:effectExtent l="0" t="0" r="0" b="0"/>
            <wp:wrapSquare wrapText="bothSides"/>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02A4" w:rsidRDefault="005650D6" w14:paraId="3401F4AA" w14:textId="77777777">
      <w:pPr>
        <w:jc w:val="center"/>
      </w:pPr>
      <w:r>
        <w:rPr>
          <w:sz w:val="28"/>
          <w:szCs w:val="28"/>
        </w:rPr>
        <w:t>2025</w:t>
      </w:r>
    </w:p>
    <w:p w:rsidR="00D802A4" w:rsidRDefault="005650D6" w14:paraId="4A13F75F" w14:textId="77777777">
      <w:pPr>
        <w:jc w:val="center"/>
      </w:pPr>
      <w:r>
        <w:rPr>
          <w:sz w:val="28"/>
          <w:szCs w:val="28"/>
        </w:rPr>
        <w:t>Project Implementation Report (PIR)</w:t>
      </w:r>
    </w:p>
    <w:p w:rsidR="00D802A4" w:rsidRDefault="00D802A4" w14:paraId="7B05DAA3" w14:textId="77777777"/>
    <w:p w:rsidR="00D802A4" w:rsidRDefault="00D802A4" w14:paraId="2AA1AB55" w14:textId="77777777"/>
    <w:p w:rsidR="00D802A4" w:rsidRDefault="00D802A4" w14:paraId="1736A8FC" w14:textId="77777777"/>
    <w:p w:rsidR="00D802A4" w:rsidRDefault="005650D6" w14:paraId="26FD7B81" w14:textId="77777777">
      <w:pPr>
        <w:jc w:val="center"/>
      </w:pPr>
      <w:r>
        <w:rPr>
          <w:b/>
          <w:bCs/>
          <w:sz w:val="28"/>
          <w:szCs w:val="28"/>
        </w:rPr>
        <w:t>Seventh Operational Phase of GEF Small Grants Programme in Philippines</w:t>
      </w:r>
    </w:p>
    <w:p w:rsidR="00D802A4" w:rsidRDefault="005650D6" w14:paraId="6577C0EE" w14:textId="628125B2">
      <w:pPr>
        <w:tabs>
          <w:tab w:val="right" w:leader="dot" w:pos="9062"/>
        </w:tabs>
      </w:pPr>
      <w:r>
        <w:fldChar w:fldCharType="begin"/>
      </w:r>
      <w:r>
        <w:instrText>TOC \o 1-1 \h \z \u</w:instrText>
      </w:r>
      <w:r>
        <w:fldChar w:fldCharType="separate"/>
      </w:r>
      <w:hyperlink w:history="1" w:anchor="_Toc0">
        <w:r w:rsidR="00D802A4">
          <w:t>Basic Data</w:t>
        </w:r>
        <w:r w:rsidR="00D802A4">
          <w:tab/>
        </w:r>
        <w:r w:rsidR="00D802A4">
          <w:fldChar w:fldCharType="begin"/>
        </w:r>
        <w:r w:rsidR="00D802A4">
          <w:instrText>PAGEREF 0 \h</w:instrText>
        </w:r>
        <w:r w:rsidR="00D802A4">
          <w:fldChar w:fldCharType="separate"/>
        </w:r>
        <w:r w:rsidR="00D802A4">
          <w:rPr>
            <w:b/>
            <w:bCs/>
            <w:noProof/>
          </w:rPr>
          <w:t>Error! Bookmark not defined.</w:t>
        </w:r>
        <w:r w:rsidR="00D802A4">
          <w:fldChar w:fldCharType="end"/>
        </w:r>
      </w:hyperlink>
    </w:p>
    <w:p w:rsidR="00D802A4" w:rsidRDefault="00D802A4" w14:paraId="3E3145B9" w14:textId="57161269">
      <w:pPr>
        <w:tabs>
          <w:tab w:val="right" w:leader="dot" w:pos="9062"/>
        </w:tabs>
      </w:pPr>
      <w:hyperlink w:history="1" w:anchor="_Toc1">
        <w:r>
          <w:t>Key project dates</w:t>
        </w:r>
        <w:r>
          <w:tab/>
        </w:r>
        <w:r>
          <w:fldChar w:fldCharType="begin"/>
        </w:r>
        <w:r>
          <w:instrText>PAGEREF 1 \h</w:instrText>
        </w:r>
        <w:r>
          <w:fldChar w:fldCharType="separate"/>
        </w:r>
        <w:r>
          <w:rPr>
            <w:b/>
            <w:bCs/>
            <w:noProof/>
          </w:rPr>
          <w:t>Error! Bookmark not defined.</w:t>
        </w:r>
        <w:r>
          <w:fldChar w:fldCharType="end"/>
        </w:r>
      </w:hyperlink>
    </w:p>
    <w:p w:rsidR="00D802A4" w:rsidRDefault="00D802A4" w14:paraId="034CAD31" w14:textId="79DDC603">
      <w:pPr>
        <w:tabs>
          <w:tab w:val="right" w:leader="dot" w:pos="9062"/>
        </w:tabs>
      </w:pPr>
      <w:hyperlink w:history="1" w:anchor="_Toc2">
        <w:r>
          <w:t>Overall ratings</w:t>
        </w:r>
        <w:r>
          <w:tab/>
        </w:r>
        <w:r>
          <w:fldChar w:fldCharType="begin"/>
        </w:r>
        <w:r>
          <w:instrText>PAGEREF 2 \h</w:instrText>
        </w:r>
        <w:r>
          <w:fldChar w:fldCharType="separate"/>
        </w:r>
        <w:r>
          <w:rPr>
            <w:b/>
            <w:bCs/>
            <w:noProof/>
          </w:rPr>
          <w:t>Error! Bookmark not defined.</w:t>
        </w:r>
        <w:r>
          <w:fldChar w:fldCharType="end"/>
        </w:r>
      </w:hyperlink>
    </w:p>
    <w:p w:rsidR="00D802A4" w:rsidRDefault="00D802A4" w14:paraId="2F9CE241" w14:textId="499C841F">
      <w:pPr>
        <w:tabs>
          <w:tab w:val="right" w:leader="dot" w:pos="9062"/>
        </w:tabs>
      </w:pPr>
      <w:hyperlink w:history="1" w:anchor="_Toc3">
        <w:r>
          <w:t>Development Objective Progress</w:t>
        </w:r>
        <w:r>
          <w:tab/>
        </w:r>
        <w:r>
          <w:fldChar w:fldCharType="begin"/>
        </w:r>
        <w:r>
          <w:instrText>PAGEREF 3 \h</w:instrText>
        </w:r>
        <w:r>
          <w:fldChar w:fldCharType="separate"/>
        </w:r>
        <w:r>
          <w:rPr>
            <w:b/>
            <w:bCs/>
            <w:noProof/>
          </w:rPr>
          <w:t>Error! Bookmark not defined.</w:t>
        </w:r>
        <w:r>
          <w:fldChar w:fldCharType="end"/>
        </w:r>
      </w:hyperlink>
    </w:p>
    <w:p w:rsidR="00D802A4" w:rsidRDefault="00D802A4" w14:paraId="30A0ACF6" w14:textId="64FB0708">
      <w:pPr>
        <w:tabs>
          <w:tab w:val="right" w:leader="dot" w:pos="9062"/>
        </w:tabs>
      </w:pPr>
      <w:hyperlink w:history="1" w:anchor="_Toc4">
        <w:r>
          <w:t>Finance/Co-Finance</w:t>
        </w:r>
        <w:r>
          <w:tab/>
        </w:r>
        <w:r>
          <w:fldChar w:fldCharType="begin"/>
        </w:r>
        <w:r>
          <w:instrText>PAGEREF 4 \h</w:instrText>
        </w:r>
        <w:r>
          <w:fldChar w:fldCharType="separate"/>
        </w:r>
        <w:r>
          <w:rPr>
            <w:b/>
            <w:bCs/>
            <w:noProof/>
          </w:rPr>
          <w:t>Error! Bookmark not defined.</w:t>
        </w:r>
        <w:r>
          <w:fldChar w:fldCharType="end"/>
        </w:r>
      </w:hyperlink>
    </w:p>
    <w:p w:rsidR="00D802A4" w:rsidRDefault="00D802A4" w14:paraId="1F181F94" w14:textId="1325B390">
      <w:pPr>
        <w:tabs>
          <w:tab w:val="right" w:leader="dot" w:pos="9062"/>
        </w:tabs>
      </w:pPr>
      <w:hyperlink w:history="1" w:anchor="_Toc6">
        <w:r>
          <w:t>Implementation Progress</w:t>
        </w:r>
        <w:r>
          <w:tab/>
        </w:r>
        <w:r>
          <w:fldChar w:fldCharType="begin"/>
        </w:r>
        <w:r>
          <w:instrText>PAGEREF 6 \h</w:instrText>
        </w:r>
        <w:r>
          <w:fldChar w:fldCharType="separate"/>
        </w:r>
        <w:r>
          <w:rPr>
            <w:b/>
            <w:bCs/>
            <w:noProof/>
          </w:rPr>
          <w:t>Error! Bookmark not defined.</w:t>
        </w:r>
        <w:r>
          <w:fldChar w:fldCharType="end"/>
        </w:r>
      </w:hyperlink>
    </w:p>
    <w:p w:rsidR="00D802A4" w:rsidRDefault="00D802A4" w14:paraId="7B802BCE" w14:textId="7C1847F2">
      <w:pPr>
        <w:tabs>
          <w:tab w:val="right" w:leader="dot" w:pos="9062"/>
        </w:tabs>
      </w:pPr>
      <w:hyperlink w:history="1" w:anchor="_Toc7">
        <w:r>
          <w:t>Project Governance</w:t>
        </w:r>
        <w:r>
          <w:tab/>
        </w:r>
        <w:r>
          <w:fldChar w:fldCharType="begin"/>
        </w:r>
        <w:r>
          <w:instrText>PAGEREF 7 \h</w:instrText>
        </w:r>
        <w:r>
          <w:fldChar w:fldCharType="separate"/>
        </w:r>
        <w:r>
          <w:rPr>
            <w:b/>
            <w:bCs/>
            <w:noProof/>
          </w:rPr>
          <w:t>Error! Bookmark not defined.</w:t>
        </w:r>
        <w:r>
          <w:fldChar w:fldCharType="end"/>
        </w:r>
      </w:hyperlink>
    </w:p>
    <w:p w:rsidR="00D802A4" w:rsidRDefault="00D802A4" w14:paraId="7F1D8321" w14:textId="543DA47D">
      <w:pPr>
        <w:tabs>
          <w:tab w:val="right" w:leader="dot" w:pos="9062"/>
        </w:tabs>
      </w:pPr>
      <w:hyperlink w:history="1" w:anchor="_Toc8">
        <w:r>
          <w:t>Ratings and Overall Assessments</w:t>
        </w:r>
        <w:r>
          <w:tab/>
        </w:r>
        <w:r>
          <w:fldChar w:fldCharType="begin"/>
        </w:r>
        <w:r>
          <w:instrText>PAGEREF 8 \h</w:instrText>
        </w:r>
        <w:r>
          <w:fldChar w:fldCharType="separate"/>
        </w:r>
        <w:r>
          <w:rPr>
            <w:b/>
            <w:bCs/>
            <w:noProof/>
          </w:rPr>
          <w:t>Error! Bookmark not defined.</w:t>
        </w:r>
        <w:r>
          <w:fldChar w:fldCharType="end"/>
        </w:r>
      </w:hyperlink>
    </w:p>
    <w:p w:rsidR="00D802A4" w:rsidRDefault="00D802A4" w14:paraId="2A3C8E96" w14:textId="55A55308">
      <w:pPr>
        <w:tabs>
          <w:tab w:val="right" w:leader="dot" w:pos="9062"/>
        </w:tabs>
      </w:pPr>
      <w:hyperlink w:history="1" w:anchor="_Toc9">
        <w:r>
          <w:t>Minor Amendments</w:t>
        </w:r>
        <w:r>
          <w:tab/>
        </w:r>
        <w:r>
          <w:fldChar w:fldCharType="begin"/>
        </w:r>
        <w:r>
          <w:instrText>PAGEREF 9 \h</w:instrText>
        </w:r>
        <w:r>
          <w:fldChar w:fldCharType="separate"/>
        </w:r>
        <w:r>
          <w:rPr>
            <w:b/>
            <w:bCs/>
            <w:noProof/>
          </w:rPr>
          <w:t>Error! Bookmark not defined.</w:t>
        </w:r>
        <w:r>
          <w:fldChar w:fldCharType="end"/>
        </w:r>
      </w:hyperlink>
    </w:p>
    <w:p w:rsidR="00D802A4" w:rsidRDefault="00D802A4" w14:paraId="7036E53C" w14:textId="33F7C252">
      <w:pPr>
        <w:tabs>
          <w:tab w:val="right" w:leader="dot" w:pos="9062"/>
        </w:tabs>
      </w:pPr>
      <w:hyperlink w:history="1" w:anchor="_Toc10">
        <w:r>
          <w:t>Gender</w:t>
        </w:r>
        <w:r>
          <w:tab/>
        </w:r>
        <w:r>
          <w:fldChar w:fldCharType="begin"/>
        </w:r>
        <w:r>
          <w:instrText>PAGEREF 10 \h</w:instrText>
        </w:r>
        <w:r>
          <w:fldChar w:fldCharType="separate"/>
        </w:r>
        <w:r>
          <w:rPr>
            <w:b/>
            <w:bCs/>
            <w:noProof/>
          </w:rPr>
          <w:t>Error! Bookmark not defined.</w:t>
        </w:r>
        <w:r>
          <w:fldChar w:fldCharType="end"/>
        </w:r>
      </w:hyperlink>
    </w:p>
    <w:p w:rsidR="00D802A4" w:rsidRDefault="00D802A4" w14:paraId="05051959" w14:textId="012FAFA8">
      <w:pPr>
        <w:tabs>
          <w:tab w:val="right" w:leader="dot" w:pos="9062"/>
        </w:tabs>
      </w:pPr>
      <w:hyperlink w:history="1" w:anchor="_Toc12">
        <w:r>
          <w:t>Risk Management</w:t>
        </w:r>
        <w:r>
          <w:tab/>
        </w:r>
        <w:r>
          <w:fldChar w:fldCharType="begin"/>
        </w:r>
        <w:r>
          <w:instrText>PAGEREF 12 \h</w:instrText>
        </w:r>
        <w:r>
          <w:fldChar w:fldCharType="separate"/>
        </w:r>
        <w:r>
          <w:rPr>
            <w:b/>
            <w:bCs/>
            <w:noProof/>
          </w:rPr>
          <w:t>Error! Bookmark not defined.</w:t>
        </w:r>
        <w:r>
          <w:fldChar w:fldCharType="end"/>
        </w:r>
      </w:hyperlink>
    </w:p>
    <w:p w:rsidR="00D802A4" w:rsidRDefault="00D802A4" w14:paraId="2FAA2A0C" w14:textId="29F04247">
      <w:pPr>
        <w:tabs>
          <w:tab w:val="right" w:leader="dot" w:pos="9062"/>
        </w:tabs>
      </w:pPr>
      <w:hyperlink w:history="1" w:anchor="_Toc15">
        <w:r>
          <w:t>Knowledge Management &amp; Communications</w:t>
        </w:r>
        <w:r>
          <w:tab/>
        </w:r>
        <w:r>
          <w:fldChar w:fldCharType="begin"/>
        </w:r>
        <w:r>
          <w:instrText>PAGEREF 15 \h</w:instrText>
        </w:r>
        <w:r>
          <w:fldChar w:fldCharType="separate"/>
        </w:r>
        <w:r>
          <w:rPr>
            <w:b/>
            <w:bCs/>
            <w:noProof/>
          </w:rPr>
          <w:t>Error! Bookmark not defined.</w:t>
        </w:r>
        <w:r>
          <w:fldChar w:fldCharType="end"/>
        </w:r>
      </w:hyperlink>
    </w:p>
    <w:p w:rsidR="00D802A4" w:rsidRDefault="00D802A4" w14:paraId="2E1BE979" w14:textId="567B3CB7">
      <w:pPr>
        <w:tabs>
          <w:tab w:val="right" w:leader="dot" w:pos="9062"/>
        </w:tabs>
      </w:pPr>
      <w:hyperlink w:history="1" w:anchor="_Toc16">
        <w:r>
          <w:t>Annex - Ratings Definitions</w:t>
        </w:r>
        <w:r>
          <w:tab/>
        </w:r>
        <w:r>
          <w:fldChar w:fldCharType="begin"/>
        </w:r>
        <w:r>
          <w:instrText>PAGEREF 16 \h</w:instrText>
        </w:r>
        <w:r>
          <w:fldChar w:fldCharType="separate"/>
        </w:r>
        <w:r>
          <w:rPr>
            <w:b/>
            <w:bCs/>
            <w:noProof/>
          </w:rPr>
          <w:t>Error! Bookmark not defined.</w:t>
        </w:r>
        <w:r>
          <w:fldChar w:fldCharType="end"/>
        </w:r>
      </w:hyperlink>
    </w:p>
    <w:p w:rsidR="00D802A4" w:rsidRDefault="005650D6" w14:paraId="7FD89BFF" w14:textId="77777777">
      <w:r>
        <w:fldChar w:fldCharType="end"/>
      </w:r>
    </w:p>
    <w:p w:rsidR="00D802A4" w:rsidRDefault="00D802A4" w14:paraId="33E58C0F" w14:textId="77777777">
      <w:pPr>
        <w:sectPr w:rsidR="00D802A4">
          <w:headerReference w:type="default" r:id="rId12"/>
          <w:footerReference w:type="default" r:id="rId13"/>
          <w:pgSz w:w="11905" w:h="16837" w:orient="portrait"/>
          <w:pgMar w:top="1440" w:right="1440" w:bottom="1440" w:left="1440" w:header="720" w:footer="720" w:gutter="0"/>
          <w:cols w:space="720"/>
        </w:sectPr>
      </w:pPr>
    </w:p>
    <w:p w:rsidR="00D802A4" w:rsidRDefault="005650D6" w14:paraId="083AF00C" w14:textId="77777777">
      <w:pPr>
        <w:pStyle w:val="Heading1"/>
      </w:pPr>
      <w:bookmarkStart w:name="_Toc0" w:id="0"/>
      <w:r>
        <w:t>Basic Data</w:t>
      </w:r>
      <w:bookmarkEnd w:id="0"/>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4496"/>
        <w:gridCol w:w="4497"/>
      </w:tblGrid>
      <w:tr w:rsidR="00D802A4" w14:paraId="202BD1A2" w14:textId="77777777">
        <w:tc>
          <w:tcPr>
            <w:tcW w:w="10000" w:type="dxa"/>
            <w:gridSpan w:val="2"/>
            <w:shd w:val="clear" w:color="auto" w:fill="D9D9D9"/>
            <w:noWrap/>
          </w:tcPr>
          <w:p w:rsidR="00D802A4" w:rsidRDefault="005650D6" w14:paraId="5817B29B" w14:textId="77777777">
            <w:r>
              <w:rPr>
                <w:b/>
                <w:bCs/>
              </w:rPr>
              <w:t>Project Information</w:t>
            </w:r>
          </w:p>
        </w:tc>
      </w:tr>
      <w:tr w:rsidR="00D802A4" w14:paraId="7E69170F" w14:textId="77777777">
        <w:tc>
          <w:tcPr>
            <w:tcW w:w="5000" w:type="dxa"/>
            <w:noWrap/>
          </w:tcPr>
          <w:p w:rsidR="00D802A4" w:rsidRDefault="005650D6" w14:paraId="4C15E7DA" w14:textId="77777777">
            <w:r>
              <w:t>UNDP PIMS ID</w:t>
            </w:r>
          </w:p>
        </w:tc>
        <w:tc>
          <w:tcPr>
            <w:tcW w:w="5000" w:type="dxa"/>
            <w:noWrap/>
          </w:tcPr>
          <w:p w:rsidR="00D802A4" w:rsidRDefault="005650D6" w14:paraId="7F6C7247" w14:textId="77777777">
            <w:r>
              <w:t>6254</w:t>
            </w:r>
          </w:p>
        </w:tc>
      </w:tr>
      <w:tr w:rsidR="00D802A4" w14:paraId="6D6B81FC" w14:textId="77777777">
        <w:tc>
          <w:tcPr>
            <w:tcW w:w="5000" w:type="dxa"/>
            <w:noWrap/>
          </w:tcPr>
          <w:p w:rsidR="00D802A4" w:rsidRDefault="005650D6" w14:paraId="20A691AA" w14:textId="77777777">
            <w:r>
              <w:t>GEF ID</w:t>
            </w:r>
          </w:p>
        </w:tc>
        <w:tc>
          <w:tcPr>
            <w:tcW w:w="5000" w:type="dxa"/>
            <w:noWrap/>
          </w:tcPr>
          <w:p w:rsidR="00D802A4" w:rsidRDefault="005650D6" w14:paraId="312ED9EF" w14:textId="77777777">
            <w:r>
              <w:t>10123</w:t>
            </w:r>
          </w:p>
        </w:tc>
      </w:tr>
      <w:tr w:rsidR="00D802A4" w14:paraId="0C622015" w14:textId="77777777">
        <w:tc>
          <w:tcPr>
            <w:tcW w:w="5000" w:type="dxa"/>
            <w:noWrap/>
          </w:tcPr>
          <w:p w:rsidR="00D802A4" w:rsidRDefault="005650D6" w14:paraId="50668A6B" w14:textId="77777777">
            <w:r>
              <w:t>Title</w:t>
            </w:r>
          </w:p>
        </w:tc>
        <w:tc>
          <w:tcPr>
            <w:tcW w:w="5000" w:type="dxa"/>
            <w:noWrap/>
          </w:tcPr>
          <w:p w:rsidR="00D802A4" w:rsidRDefault="005650D6" w14:paraId="08D91E0A" w14:textId="77777777">
            <w:r>
              <w:t>Seventh Operational Phase of GEF Small Grants Programme in Philippines</w:t>
            </w:r>
          </w:p>
        </w:tc>
      </w:tr>
      <w:tr w:rsidR="00D802A4" w14:paraId="6C82BC00" w14:textId="77777777">
        <w:tc>
          <w:tcPr>
            <w:tcW w:w="5000" w:type="dxa"/>
            <w:noWrap/>
          </w:tcPr>
          <w:p w:rsidR="00D802A4" w:rsidRDefault="005650D6" w14:paraId="2B756CD1" w14:textId="77777777">
            <w:r>
              <w:t>Country(ies)</w:t>
            </w:r>
          </w:p>
        </w:tc>
        <w:tc>
          <w:tcPr>
            <w:tcW w:w="5000" w:type="dxa"/>
            <w:noWrap/>
          </w:tcPr>
          <w:p w:rsidR="00D802A4" w:rsidRDefault="005650D6" w14:paraId="52DC67B0" w14:textId="77777777">
            <w:r>
              <w:t>Philippines, Philippines</w:t>
            </w:r>
          </w:p>
        </w:tc>
      </w:tr>
      <w:tr w:rsidR="00D802A4" w14:paraId="27E40A6C" w14:textId="77777777">
        <w:tc>
          <w:tcPr>
            <w:tcW w:w="5000" w:type="dxa"/>
            <w:noWrap/>
          </w:tcPr>
          <w:p w:rsidR="00D802A4" w:rsidRDefault="005650D6" w14:paraId="6E734FDF" w14:textId="77777777">
            <w:r>
              <w:t>UNDP Technical Team</w:t>
            </w:r>
          </w:p>
        </w:tc>
        <w:tc>
          <w:tcPr>
            <w:tcW w:w="5000" w:type="dxa"/>
            <w:noWrap/>
          </w:tcPr>
          <w:p w:rsidR="00D802A4" w:rsidRDefault="005650D6" w14:paraId="58CC1239" w14:textId="77777777">
            <w:r>
              <w:t>Local Action</w:t>
            </w:r>
          </w:p>
        </w:tc>
      </w:tr>
      <w:tr w:rsidR="00D802A4" w14:paraId="2846CFD7" w14:textId="77777777">
        <w:tc>
          <w:tcPr>
            <w:tcW w:w="5000" w:type="dxa"/>
            <w:noWrap/>
          </w:tcPr>
          <w:p w:rsidR="00D802A4" w:rsidRDefault="005650D6" w14:paraId="7270926B" w14:textId="77777777">
            <w:r>
              <w:t>Management Arrangements</w:t>
            </w:r>
          </w:p>
        </w:tc>
        <w:tc>
          <w:tcPr>
            <w:tcW w:w="5000" w:type="dxa"/>
            <w:noWrap/>
          </w:tcPr>
          <w:p w:rsidR="00D802A4" w:rsidRDefault="005650D6" w14:paraId="63AE141F" w14:textId="77777777">
            <w:r>
              <w:t>NGO/IGO</w:t>
            </w:r>
          </w:p>
        </w:tc>
      </w:tr>
      <w:tr w:rsidR="00D802A4" w14:paraId="1F169D95" w14:textId="77777777">
        <w:tc>
          <w:tcPr>
            <w:tcW w:w="5000" w:type="dxa"/>
            <w:noWrap/>
          </w:tcPr>
          <w:p w:rsidR="00D802A4" w:rsidRDefault="005650D6" w14:paraId="3FA03822" w14:textId="77777777">
            <w:r>
              <w:t>Project Implementing Partner</w:t>
            </w:r>
          </w:p>
        </w:tc>
        <w:tc>
          <w:tcPr>
            <w:tcW w:w="5000" w:type="dxa"/>
            <w:noWrap/>
          </w:tcPr>
          <w:p w:rsidR="00D802A4" w:rsidRDefault="005650D6" w14:paraId="00963FB4" w14:textId="77777777">
            <w:r>
              <w:t>FPE</w:t>
            </w:r>
          </w:p>
        </w:tc>
      </w:tr>
      <w:tr w:rsidR="00D802A4" w14:paraId="6B440C3A" w14:textId="77777777">
        <w:tc>
          <w:tcPr>
            <w:tcW w:w="5000" w:type="dxa"/>
            <w:noWrap/>
          </w:tcPr>
          <w:p w:rsidR="00D802A4" w:rsidRDefault="005650D6" w14:paraId="41A811A8" w14:textId="77777777">
            <w:r>
              <w:t>Joint Agencies</w:t>
            </w:r>
          </w:p>
        </w:tc>
        <w:tc>
          <w:tcPr>
            <w:tcW w:w="5000" w:type="dxa"/>
            <w:noWrap/>
          </w:tcPr>
          <w:p w:rsidR="00D802A4" w:rsidRDefault="005650D6" w14:paraId="67BA25AB" w14:textId="77777777">
            <w:r>
              <w:rPr>
                <w:i/>
                <w:iCs/>
              </w:rPr>
              <w:t>(not set or not applicable)</w:t>
            </w:r>
          </w:p>
        </w:tc>
      </w:tr>
      <w:tr w:rsidR="00D802A4" w14:paraId="672E1C6E" w14:textId="77777777">
        <w:tc>
          <w:tcPr>
            <w:tcW w:w="5000" w:type="dxa"/>
            <w:noWrap/>
          </w:tcPr>
          <w:p w:rsidR="00D802A4" w:rsidRDefault="005650D6" w14:paraId="2C95F79F" w14:textId="77777777">
            <w:r>
              <w:t>Project Type</w:t>
            </w:r>
          </w:p>
        </w:tc>
        <w:tc>
          <w:tcPr>
            <w:tcW w:w="5000" w:type="dxa"/>
            <w:noWrap/>
          </w:tcPr>
          <w:p w:rsidR="00D802A4" w:rsidRDefault="005650D6" w14:paraId="10494D7B" w14:textId="77777777">
            <w:r>
              <w:t>Full Size</w:t>
            </w:r>
          </w:p>
        </w:tc>
      </w:tr>
      <w:tr w:rsidR="00D802A4" w14:paraId="66281ED9" w14:textId="77777777">
        <w:tc>
          <w:tcPr>
            <w:tcW w:w="5000" w:type="dxa"/>
            <w:noWrap/>
          </w:tcPr>
          <w:p w:rsidR="00D802A4" w:rsidRDefault="005650D6" w14:paraId="6F05A35E" w14:textId="77777777">
            <w:r>
              <w:t>Implementation Status</w:t>
            </w:r>
          </w:p>
        </w:tc>
        <w:tc>
          <w:tcPr>
            <w:tcW w:w="5000" w:type="dxa"/>
            <w:noWrap/>
          </w:tcPr>
          <w:p w:rsidR="00D802A4" w:rsidRDefault="005650D6" w14:paraId="46592D35" w14:textId="77777777">
            <w:r>
              <w:t>3rd PIR</w:t>
            </w:r>
          </w:p>
        </w:tc>
      </w:tr>
      <w:tr w:rsidR="00D802A4" w14:paraId="2A12C1E0" w14:textId="77777777">
        <w:tc>
          <w:tcPr>
            <w:tcW w:w="5000" w:type="dxa"/>
            <w:noWrap/>
          </w:tcPr>
          <w:p w:rsidR="00D802A4" w:rsidRDefault="005650D6" w14:paraId="2C344772" w14:textId="77777777">
            <w:r>
              <w:t>GEF Fiscal Year</w:t>
            </w:r>
          </w:p>
        </w:tc>
        <w:tc>
          <w:tcPr>
            <w:tcW w:w="5000" w:type="dxa"/>
            <w:noWrap/>
          </w:tcPr>
          <w:p w:rsidR="00D802A4" w:rsidRDefault="005650D6" w14:paraId="6CA5A75E" w14:textId="77777777">
            <w:r>
              <w:t>FY25</w:t>
            </w:r>
          </w:p>
        </w:tc>
      </w:tr>
      <w:tr w:rsidR="00D802A4" w14:paraId="7BDD83C6" w14:textId="77777777">
        <w:tc>
          <w:tcPr>
            <w:tcW w:w="5000" w:type="dxa"/>
            <w:noWrap/>
          </w:tcPr>
          <w:p w:rsidR="00D802A4" w:rsidRDefault="005650D6" w14:paraId="2CA48A77" w14:textId="77777777">
            <w:r>
              <w:t>Trust Fund</w:t>
            </w:r>
          </w:p>
        </w:tc>
        <w:tc>
          <w:tcPr>
            <w:tcW w:w="5000" w:type="dxa"/>
            <w:noWrap/>
          </w:tcPr>
          <w:p w:rsidR="00D802A4" w:rsidRDefault="005650D6" w14:paraId="3F60B3C6" w14:textId="77777777">
            <w:r>
              <w:t>GEF Trust Fund</w:t>
            </w:r>
          </w:p>
        </w:tc>
      </w:tr>
    </w:tbl>
    <w:p w:rsidR="00D802A4" w:rsidRDefault="00D802A4" w14:paraId="7C1542C1" w14:textId="77777777"/>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8993"/>
      </w:tblGrid>
      <w:tr w:rsidR="00D802A4" w14:paraId="0E144B32" w14:textId="77777777">
        <w:tc>
          <w:tcPr>
            <w:tcW w:w="10000" w:type="dxa"/>
            <w:shd w:val="clear" w:color="auto" w:fill="D9D9D9"/>
            <w:noWrap/>
          </w:tcPr>
          <w:p w:rsidR="00D802A4" w:rsidRDefault="005650D6" w14:paraId="56AEE1AB" w14:textId="77777777">
            <w:r>
              <w:rPr>
                <w:b/>
                <w:bCs/>
              </w:rPr>
              <w:t>Project Description</w:t>
            </w:r>
          </w:p>
        </w:tc>
      </w:tr>
      <w:tr w:rsidR="00D802A4" w14:paraId="29C94D0C" w14:textId="77777777">
        <w:tc>
          <w:tcPr>
            <w:tcW w:w="10000" w:type="dxa"/>
            <w:noWrap/>
          </w:tcPr>
          <w:p w:rsidR="00D802A4" w:rsidRDefault="005650D6" w14:paraId="3B956A1F" w14:textId="77777777">
            <w:r>
              <w:t>Communities in Aurora, Samar, Siargao, and the Calamian Islands suffer from the devastating impacts of habitat destruction, biodiversity loss, and extreme climate events. High levels of poverty, lack of awareness and resources for biodiversity protection, fragmented approaches to ecosystems-based adaptation, weak governance, and gaps in national and local policies and institutions pose challenges and barriers to improved and sustainable practices.  Expansive commercial interests, growing tourism, and a lack</w:t>
            </w:r>
            <w:r>
              <w:t xml:space="preserve"> of effective public-private partnerships often lead to unsustainable practices creating negative stressors on scarce natural resources.</w:t>
            </w:r>
          </w:p>
          <w:p w:rsidR="00D802A4" w:rsidRDefault="00D802A4" w14:paraId="6E150080" w14:textId="77777777"/>
          <w:p w:rsidR="00D802A4" w:rsidRDefault="005650D6" w14:paraId="36C11527" w14:textId="77777777">
            <w:r>
              <w:t>This project seeks to address these challenges, by capacitating local communities and institutions, with support from the government to pilot and implement initiatives that promote biodiversity protection. The project will promote the landscape approach, thereby supporting multi-stakeholder interventions, which mutually reinforce one another to result in landscape-level results. The objective of the project is to build socio-ecological and  economic resilience in four selected landscapes and seascapes on th</w:t>
            </w:r>
            <w:r>
              <w:t>e Eastern Seaboard of the Philippines - (1) Catubig Watershed Samar Island, (2) Aurora  Province in the Sierra Madre, (3) Siargao Island Protected Landscape/Seascape - and along the West Philippine Sea - (4) Calamianes Group of Islands in  Northern Palawan - through community-based activities The following five outcomes are planned under this project:</w:t>
            </w:r>
          </w:p>
          <w:p w:rsidR="00D802A4" w:rsidRDefault="00D802A4" w14:paraId="28554D2A" w14:textId="77777777"/>
          <w:p w:rsidR="00D802A4" w:rsidRDefault="005650D6" w14:paraId="6B7E0F7C" w14:textId="77777777">
            <w:r>
              <w:t>▪</w:t>
            </w:r>
            <w:r>
              <w:t xml:space="preserve"> Ecosystem services and biodiversity within four targeted landscapes and seascapes are enhanced through multi-functional land-use systems ▪ The sustainability of production systems in the target landscapes is strengthened through integrated agro-ecological practices. ▪ Livelihoods of communities in the target landscapes and seascapes are improved by developing eco-friendly, climate-adaptive small-scale  community enterprises with clear market linkages</w:t>
            </w:r>
          </w:p>
          <w:p w:rsidR="00D802A4" w:rsidRDefault="005650D6" w14:paraId="5E24EFF9" w14:textId="77777777">
            <w:r>
              <w:t>▪</w:t>
            </w:r>
            <w:r>
              <w:t xml:space="preserve"> Multistakeholder governance platforms strengthened/in place for improved governance of target landscapes and seascapes for effective  participatory decision-making to enhance socio-ecological landscape resiliency</w:t>
            </w:r>
          </w:p>
          <w:p w:rsidR="00D802A4" w:rsidRDefault="00D802A4" w14:paraId="4A16FAE6" w14:textId="77777777"/>
          <w:p w:rsidR="00D802A4" w:rsidRDefault="005650D6" w14:paraId="6EA4226B" w14:textId="77777777">
            <w:r>
              <w:t>Knowledge from community level engagement and innovative conservation practices is systematically assessed and shared for replication and upscaling  across the landscapes, across the country, and to the global SGP network for global environmental benefits and sustainable development.</w:t>
            </w:r>
          </w:p>
        </w:tc>
      </w:tr>
    </w:tbl>
    <w:p w:rsidR="00D802A4" w:rsidRDefault="00D802A4" w14:paraId="2A9D87AC" w14:textId="77777777"/>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4496"/>
        <w:gridCol w:w="4497"/>
      </w:tblGrid>
      <w:tr w:rsidR="00D802A4" w14:paraId="2DCE5140" w14:textId="77777777">
        <w:tc>
          <w:tcPr>
            <w:tcW w:w="10000" w:type="dxa"/>
            <w:gridSpan w:val="2"/>
            <w:shd w:val="clear" w:color="auto" w:fill="D9D9D9"/>
            <w:noWrap/>
          </w:tcPr>
          <w:p w:rsidR="00D802A4" w:rsidRDefault="005650D6" w14:paraId="786AA1CE" w14:textId="77777777">
            <w:r>
              <w:rPr>
                <w:b/>
                <w:bCs/>
              </w:rPr>
              <w:t>Project Contacts</w:t>
            </w:r>
          </w:p>
        </w:tc>
      </w:tr>
      <w:tr w:rsidR="00D802A4" w14:paraId="5AB4247D" w14:textId="77777777">
        <w:tc>
          <w:tcPr>
            <w:tcW w:w="5000" w:type="dxa"/>
            <w:noWrap/>
          </w:tcPr>
          <w:p w:rsidR="00D802A4" w:rsidRDefault="005650D6" w14:paraId="5F0FD000" w14:textId="77777777">
            <w:r>
              <w:t>UNDP BPPS Technical Advisor</w:t>
            </w:r>
          </w:p>
        </w:tc>
        <w:tc>
          <w:tcPr>
            <w:tcW w:w="5000" w:type="dxa"/>
            <w:noWrap/>
          </w:tcPr>
          <w:p w:rsidR="00D802A4" w:rsidRDefault="005650D6" w14:paraId="7CAB8256" w14:textId="77777777">
            <w:r>
              <w:t>Mr. Hugo Remaury (hugo.remaury@undp.org)</w:t>
            </w:r>
          </w:p>
        </w:tc>
      </w:tr>
      <w:tr w:rsidR="00D802A4" w14:paraId="13F4BBC8" w14:textId="77777777">
        <w:tc>
          <w:tcPr>
            <w:tcW w:w="5000" w:type="dxa"/>
            <w:noWrap/>
          </w:tcPr>
          <w:p w:rsidR="00D802A4" w:rsidRDefault="005650D6" w14:paraId="4BE8A401" w14:textId="77777777">
            <w:r>
              <w:t>UNDP BPPS Programme Associate</w:t>
            </w:r>
          </w:p>
        </w:tc>
        <w:tc>
          <w:tcPr>
            <w:tcW w:w="5000" w:type="dxa"/>
            <w:noWrap/>
          </w:tcPr>
          <w:p w:rsidR="00D802A4" w:rsidRDefault="005650D6" w14:paraId="36E896FA" w14:textId="77777777">
            <w:r>
              <w:t>Ms. Kariny De Oliveira Amorim (kariny.amorim@undp.org)</w:t>
            </w:r>
          </w:p>
        </w:tc>
      </w:tr>
      <w:tr w:rsidR="00D802A4" w14:paraId="7D9559CD" w14:textId="77777777">
        <w:tc>
          <w:tcPr>
            <w:tcW w:w="5000" w:type="dxa"/>
            <w:noWrap/>
          </w:tcPr>
          <w:p w:rsidR="00D802A4" w:rsidRDefault="005650D6" w14:paraId="2ED49BA8" w14:textId="77777777">
            <w:r>
              <w:t>UNDP BPPS SES Technical Advisor</w:t>
            </w:r>
          </w:p>
        </w:tc>
        <w:tc>
          <w:tcPr>
            <w:tcW w:w="5000" w:type="dxa"/>
            <w:noWrap/>
          </w:tcPr>
          <w:p w:rsidR="00D802A4" w:rsidRDefault="005650D6" w14:paraId="2D64581F" w14:textId="77777777">
            <w:r>
              <w:t>Mr. Richard Rastall (richard.rastall@undp.org)</w:t>
            </w:r>
          </w:p>
        </w:tc>
      </w:tr>
      <w:tr w:rsidR="00D802A4" w14:paraId="79237989" w14:textId="77777777">
        <w:tc>
          <w:tcPr>
            <w:tcW w:w="5000" w:type="dxa"/>
            <w:noWrap/>
          </w:tcPr>
          <w:p w:rsidR="00D802A4" w:rsidRDefault="005650D6" w14:paraId="65A304AE" w14:textId="77777777">
            <w:r>
              <w:t>Project Manager/Coordinator</w:t>
            </w:r>
          </w:p>
        </w:tc>
        <w:tc>
          <w:tcPr>
            <w:tcW w:w="5000" w:type="dxa"/>
            <w:noWrap/>
          </w:tcPr>
          <w:p w:rsidR="00D802A4" w:rsidRDefault="005650D6" w14:paraId="39F7871D" w14:textId="77777777">
            <w:r>
              <w:t>Undp Sgp.op7 (undp.sgp.op7@undp.org)</w:t>
            </w:r>
          </w:p>
          <w:p w:rsidR="00D802A4" w:rsidRDefault="005650D6" w14:paraId="68073FB2" w14:textId="77777777">
            <w:r>
              <w:t>Errol Gatumbato (errol.gatumbato@sgp7.fpe.ph)</w:t>
            </w:r>
          </w:p>
        </w:tc>
      </w:tr>
      <w:tr w:rsidR="00D802A4" w14:paraId="58C460FB" w14:textId="77777777">
        <w:tc>
          <w:tcPr>
            <w:tcW w:w="5000" w:type="dxa"/>
            <w:noWrap/>
          </w:tcPr>
          <w:p w:rsidR="00D802A4" w:rsidRDefault="005650D6" w14:paraId="60FA6FDC" w14:textId="77777777">
            <w:r>
              <w:t>UNDP Country Office Programme Officer</w:t>
            </w:r>
          </w:p>
        </w:tc>
        <w:tc>
          <w:tcPr>
            <w:tcW w:w="5000" w:type="dxa"/>
            <w:noWrap/>
          </w:tcPr>
          <w:p w:rsidR="00D802A4" w:rsidRDefault="005650D6" w14:paraId="02A224C4" w14:textId="77777777">
            <w:r>
              <w:t>Ms. Floradema Calanasan ELEAZAR (floradema.eleazar@undp.org)</w:t>
            </w:r>
          </w:p>
          <w:p w:rsidR="00D802A4" w:rsidRDefault="005650D6" w14:paraId="21691E84" w14:textId="77777777">
            <w:r>
              <w:t>Ms. Maria Theresa ESPINO-YAP (maria.theresa.espino-yap@undp.org)</w:t>
            </w:r>
          </w:p>
        </w:tc>
      </w:tr>
      <w:tr w:rsidR="00D802A4" w14:paraId="1D5A4901" w14:textId="77777777">
        <w:tc>
          <w:tcPr>
            <w:tcW w:w="5000" w:type="dxa"/>
            <w:noWrap/>
          </w:tcPr>
          <w:p w:rsidR="00D802A4" w:rsidRDefault="005650D6" w14:paraId="00C9626A" w14:textId="77777777">
            <w:r>
              <w:t>UNDP Country Office Deputy Resident Representative</w:t>
            </w:r>
          </w:p>
        </w:tc>
        <w:tc>
          <w:tcPr>
            <w:tcW w:w="5000" w:type="dxa"/>
            <w:noWrap/>
          </w:tcPr>
          <w:p w:rsidR="00D802A4" w:rsidRDefault="005650D6" w14:paraId="48D13F32" w14:textId="77777777">
            <w:r>
              <w:t>Mr. Edwine Carrie (edwine.carrie@undp.org)</w:t>
            </w:r>
          </w:p>
          <w:p w:rsidR="00D802A4" w:rsidRDefault="005650D6" w14:paraId="1E722DF8" w14:textId="77777777">
            <w:r>
              <w:t>Mr. Selva Ramachandran (selva.ramachandran@undp.org)</w:t>
            </w:r>
          </w:p>
        </w:tc>
      </w:tr>
      <w:tr w:rsidR="00D802A4" w14:paraId="613D6E55" w14:textId="77777777">
        <w:tc>
          <w:tcPr>
            <w:tcW w:w="5000" w:type="dxa"/>
            <w:noWrap/>
          </w:tcPr>
          <w:p w:rsidR="00D802A4" w:rsidRDefault="005650D6" w14:paraId="2BAF70E6" w14:textId="77777777">
            <w:r>
              <w:t>UNDP Regional Bureau Desk Officer</w:t>
            </w:r>
          </w:p>
        </w:tc>
        <w:tc>
          <w:tcPr>
            <w:tcW w:w="5000" w:type="dxa"/>
            <w:noWrap/>
          </w:tcPr>
          <w:p w:rsidR="00D802A4" w:rsidRDefault="005650D6" w14:paraId="048AF09D" w14:textId="77777777">
            <w:r>
              <w:t>Mr. Sharad Neupane (sharad.neupane@undp.org)</w:t>
            </w:r>
          </w:p>
        </w:tc>
      </w:tr>
      <w:tr w:rsidR="00D802A4" w14:paraId="4DC3A280" w14:textId="77777777">
        <w:tc>
          <w:tcPr>
            <w:tcW w:w="5000" w:type="dxa"/>
            <w:noWrap/>
          </w:tcPr>
          <w:p w:rsidR="00D802A4" w:rsidRDefault="005650D6" w14:paraId="0CBE8EAB" w14:textId="77777777">
            <w:r>
              <w:t>GEF Operational Focal Point</w:t>
            </w:r>
          </w:p>
        </w:tc>
        <w:tc>
          <w:tcPr>
            <w:tcW w:w="5000" w:type="dxa"/>
            <w:noWrap/>
          </w:tcPr>
          <w:p w:rsidR="00D802A4" w:rsidRDefault="005650D6" w14:paraId="0573FD28" w14:textId="77777777">
            <w:r>
              <w:t>Ms. Analiza Rebuelta Teh (analiza@denr.gov.ph)</w:t>
            </w:r>
          </w:p>
        </w:tc>
      </w:tr>
      <w:tr w:rsidR="00D802A4" w14:paraId="508E26EA" w14:textId="77777777">
        <w:tc>
          <w:tcPr>
            <w:tcW w:w="5000" w:type="dxa"/>
            <w:noWrap/>
          </w:tcPr>
          <w:p w:rsidR="00D802A4" w:rsidRDefault="005650D6" w14:paraId="653DE077" w14:textId="77777777">
            <w:r>
              <w:t>Project Implementing Partner</w:t>
            </w:r>
          </w:p>
        </w:tc>
        <w:tc>
          <w:tcPr>
            <w:tcW w:w="5000" w:type="dxa"/>
            <w:noWrap/>
          </w:tcPr>
          <w:p w:rsidR="00D802A4" w:rsidRDefault="005650D6" w14:paraId="11D91883" w14:textId="77777777">
            <w:r>
              <w:t>Louie Tesalona (louie.tesalona@fpe.ph)</w:t>
            </w:r>
          </w:p>
        </w:tc>
      </w:tr>
      <w:tr w:rsidR="00D802A4" w14:paraId="6603DAE2" w14:textId="77777777">
        <w:tc>
          <w:tcPr>
            <w:tcW w:w="5000" w:type="dxa"/>
            <w:noWrap/>
          </w:tcPr>
          <w:p w:rsidR="00D802A4" w:rsidRDefault="005650D6" w14:paraId="7877CA3A" w14:textId="77777777">
            <w:r>
              <w:t>Other Partners</w:t>
            </w:r>
          </w:p>
        </w:tc>
        <w:tc>
          <w:tcPr>
            <w:tcW w:w="5000" w:type="dxa"/>
            <w:noWrap/>
          </w:tcPr>
          <w:p w:rsidR="00D802A4" w:rsidRDefault="005650D6" w14:paraId="26961081" w14:textId="77777777">
            <w:r>
              <w:rPr>
                <w:i/>
                <w:iCs/>
              </w:rPr>
              <w:t>(not set or not applicable)</w:t>
            </w:r>
          </w:p>
        </w:tc>
      </w:tr>
    </w:tbl>
    <w:p w:rsidR="00D802A4" w:rsidRDefault="00D802A4" w14:paraId="3CF10EE1" w14:textId="77777777">
      <w:pPr>
        <w:sectPr w:rsidR="00D802A4">
          <w:pgSz w:w="11905" w:h="16837" w:orient="portrait"/>
          <w:pgMar w:top="1440" w:right="1440" w:bottom="1440" w:left="1440" w:header="720" w:footer="720" w:gutter="0"/>
          <w:cols w:space="720"/>
        </w:sectPr>
      </w:pPr>
    </w:p>
    <w:p w:rsidR="00D802A4" w:rsidRDefault="005650D6" w14:paraId="06D4B478" w14:textId="77777777">
      <w:pPr>
        <w:pStyle w:val="Heading1"/>
      </w:pPr>
      <w:bookmarkStart w:name="_Toc1" w:id="1"/>
      <w:r>
        <w:t>Key project dates</w:t>
      </w:r>
      <w:bookmarkEnd w:id="1"/>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4496"/>
        <w:gridCol w:w="4497"/>
      </w:tblGrid>
      <w:tr w:rsidR="00D802A4" w14:paraId="6182045D" w14:textId="77777777">
        <w:tc>
          <w:tcPr>
            <w:tcW w:w="5000" w:type="dxa"/>
            <w:noWrap/>
          </w:tcPr>
          <w:p w:rsidR="00D802A4" w:rsidRDefault="005650D6" w14:paraId="291C1432" w14:textId="77777777">
            <w:r>
              <w:t>Project duration</w:t>
            </w:r>
          </w:p>
        </w:tc>
        <w:tc>
          <w:tcPr>
            <w:tcW w:w="5000" w:type="dxa"/>
            <w:noWrap/>
            <w:vAlign w:val="center"/>
          </w:tcPr>
          <w:p w:rsidR="00D802A4" w:rsidRDefault="005650D6" w14:paraId="353F8946" w14:textId="77777777">
            <w:pPr>
              <w:jc w:val="right"/>
            </w:pPr>
            <w:r>
              <w:t>60 months</w:t>
            </w:r>
          </w:p>
        </w:tc>
      </w:tr>
      <w:tr w:rsidR="00D802A4" w14:paraId="5094C044" w14:textId="77777777">
        <w:tc>
          <w:tcPr>
            <w:tcW w:w="5000" w:type="dxa"/>
            <w:noWrap/>
          </w:tcPr>
          <w:p w:rsidR="00D802A4" w:rsidRDefault="005650D6" w14:paraId="53EE5DFE" w14:textId="77777777">
            <w:r>
              <w:t>PIF Approval Date</w:t>
            </w:r>
          </w:p>
        </w:tc>
        <w:tc>
          <w:tcPr>
            <w:tcW w:w="5000" w:type="dxa"/>
            <w:noWrap/>
            <w:vAlign w:val="center"/>
          </w:tcPr>
          <w:p w:rsidR="00D802A4" w:rsidRDefault="005650D6" w14:paraId="7A98BCED" w14:textId="77777777">
            <w:pPr>
              <w:jc w:val="right"/>
            </w:pPr>
            <w:r>
              <w:t>Jun 11, 2019</w:t>
            </w:r>
          </w:p>
        </w:tc>
      </w:tr>
      <w:tr w:rsidR="00D802A4" w14:paraId="23C3D39B" w14:textId="77777777">
        <w:tc>
          <w:tcPr>
            <w:tcW w:w="5000" w:type="dxa"/>
            <w:noWrap/>
          </w:tcPr>
          <w:p w:rsidR="00D802A4" w:rsidRDefault="005650D6" w14:paraId="75A0C764" w14:textId="77777777">
            <w:r>
              <w:t>CEO Endorsement Date</w:t>
            </w:r>
          </w:p>
        </w:tc>
        <w:tc>
          <w:tcPr>
            <w:tcW w:w="5000" w:type="dxa"/>
            <w:noWrap/>
            <w:vAlign w:val="center"/>
          </w:tcPr>
          <w:p w:rsidR="00D802A4" w:rsidRDefault="005650D6" w14:paraId="340E4D9A" w14:textId="77777777">
            <w:pPr>
              <w:jc w:val="right"/>
            </w:pPr>
            <w:r>
              <w:t>Jun 7, 2021</w:t>
            </w:r>
          </w:p>
        </w:tc>
      </w:tr>
      <w:tr w:rsidR="00D802A4" w14:paraId="6CA8919E" w14:textId="77777777">
        <w:tc>
          <w:tcPr>
            <w:tcW w:w="5000" w:type="dxa"/>
            <w:noWrap/>
          </w:tcPr>
          <w:p w:rsidR="00D802A4" w:rsidRDefault="005650D6" w14:paraId="2A999FCD" w14:textId="77777777">
            <w:r>
              <w:t>Project Document Signature Date (project start date):</w:t>
            </w:r>
          </w:p>
        </w:tc>
        <w:tc>
          <w:tcPr>
            <w:tcW w:w="5000" w:type="dxa"/>
            <w:noWrap/>
            <w:vAlign w:val="center"/>
          </w:tcPr>
          <w:p w:rsidR="00D802A4" w:rsidRDefault="005650D6" w14:paraId="629441AE" w14:textId="77777777">
            <w:pPr>
              <w:jc w:val="right"/>
            </w:pPr>
            <w:r>
              <w:t>Feb 16, 2022</w:t>
            </w:r>
          </w:p>
        </w:tc>
      </w:tr>
      <w:tr w:rsidR="00D802A4" w14:paraId="53279A34" w14:textId="77777777">
        <w:tc>
          <w:tcPr>
            <w:tcW w:w="5000" w:type="dxa"/>
            <w:noWrap/>
          </w:tcPr>
          <w:p w:rsidR="00D802A4" w:rsidRDefault="005650D6" w14:paraId="19E73956" w14:textId="77777777">
            <w:r>
              <w:t>Date of Inception Workshop</w:t>
            </w:r>
          </w:p>
        </w:tc>
        <w:tc>
          <w:tcPr>
            <w:tcW w:w="5000" w:type="dxa"/>
            <w:noWrap/>
            <w:vAlign w:val="center"/>
          </w:tcPr>
          <w:p w:rsidR="00D802A4" w:rsidRDefault="005650D6" w14:paraId="568F511D" w14:textId="77777777">
            <w:pPr>
              <w:jc w:val="right"/>
            </w:pPr>
            <w:r>
              <w:t>Sep 13, 2022</w:t>
            </w:r>
          </w:p>
        </w:tc>
      </w:tr>
      <w:tr w:rsidR="00D802A4" w14:paraId="6304BA7C" w14:textId="77777777">
        <w:tc>
          <w:tcPr>
            <w:tcW w:w="5000" w:type="dxa"/>
            <w:noWrap/>
          </w:tcPr>
          <w:p w:rsidR="00D802A4" w:rsidRDefault="005650D6" w14:paraId="3153A079" w14:textId="77777777">
            <w:r>
              <w:t>First Disbursement Date</w:t>
            </w:r>
          </w:p>
        </w:tc>
        <w:tc>
          <w:tcPr>
            <w:tcW w:w="5000" w:type="dxa"/>
            <w:noWrap/>
            <w:vAlign w:val="center"/>
          </w:tcPr>
          <w:p w:rsidR="00D802A4" w:rsidRDefault="005650D6" w14:paraId="704004CA" w14:textId="77777777">
            <w:pPr>
              <w:jc w:val="right"/>
            </w:pPr>
            <w:r>
              <w:t>Dec 27, 2022</w:t>
            </w:r>
          </w:p>
        </w:tc>
      </w:tr>
      <w:tr w:rsidR="00D802A4" w14:paraId="0ABE37DB" w14:textId="77777777">
        <w:tc>
          <w:tcPr>
            <w:tcW w:w="5000" w:type="dxa"/>
            <w:noWrap/>
          </w:tcPr>
          <w:p w:rsidR="00D802A4" w:rsidRDefault="005650D6" w14:paraId="4772FFB0" w14:textId="77777777">
            <w:r>
              <w:t>Expected Date of Mid-term Review</w:t>
            </w:r>
          </w:p>
        </w:tc>
        <w:tc>
          <w:tcPr>
            <w:tcW w:w="5000" w:type="dxa"/>
            <w:noWrap/>
            <w:vAlign w:val="center"/>
          </w:tcPr>
          <w:p w:rsidR="00D802A4" w:rsidRDefault="005650D6" w14:paraId="21C7D835" w14:textId="77777777">
            <w:pPr>
              <w:jc w:val="right"/>
            </w:pPr>
            <w:r>
              <w:t>Nov 30, 2024</w:t>
            </w:r>
          </w:p>
        </w:tc>
      </w:tr>
      <w:tr w:rsidR="00D802A4" w14:paraId="2E604CA8" w14:textId="77777777">
        <w:tc>
          <w:tcPr>
            <w:tcW w:w="5000" w:type="dxa"/>
            <w:noWrap/>
          </w:tcPr>
          <w:p w:rsidR="00D802A4" w:rsidRDefault="005650D6" w14:paraId="3E7194CA" w14:textId="77777777">
            <w:r>
              <w:t>Actual Date of Mid-term Review</w:t>
            </w:r>
          </w:p>
        </w:tc>
        <w:tc>
          <w:tcPr>
            <w:tcW w:w="5000" w:type="dxa"/>
            <w:noWrap/>
            <w:vAlign w:val="center"/>
          </w:tcPr>
          <w:p w:rsidR="00D802A4" w:rsidRDefault="005650D6" w14:paraId="2665E71F" w14:textId="77777777">
            <w:pPr>
              <w:jc w:val="right"/>
            </w:pPr>
            <w:r>
              <w:t>Jan 10, 2025</w:t>
            </w:r>
          </w:p>
        </w:tc>
      </w:tr>
      <w:tr w:rsidR="00D802A4" w14:paraId="2C3A7E6C" w14:textId="77777777">
        <w:tc>
          <w:tcPr>
            <w:tcW w:w="5000" w:type="dxa"/>
            <w:noWrap/>
          </w:tcPr>
          <w:p w:rsidR="00D802A4" w:rsidRDefault="005650D6" w14:paraId="3F698BF1" w14:textId="77777777">
            <w:r>
              <w:t>Expected Date of Terminal Evaluation</w:t>
            </w:r>
          </w:p>
        </w:tc>
        <w:tc>
          <w:tcPr>
            <w:tcW w:w="5000" w:type="dxa"/>
            <w:noWrap/>
            <w:vAlign w:val="center"/>
          </w:tcPr>
          <w:p w:rsidR="00D802A4" w:rsidRDefault="005650D6" w14:paraId="4F2A7E42" w14:textId="77777777">
            <w:pPr>
              <w:jc w:val="right"/>
            </w:pPr>
            <w:r>
              <w:t>Nov 16, 2026</w:t>
            </w:r>
          </w:p>
        </w:tc>
      </w:tr>
      <w:tr w:rsidR="00D802A4" w14:paraId="6E198815" w14:textId="77777777">
        <w:tc>
          <w:tcPr>
            <w:tcW w:w="5000" w:type="dxa"/>
            <w:noWrap/>
          </w:tcPr>
          <w:p w:rsidR="00D802A4" w:rsidRDefault="005650D6" w14:paraId="5B10C3E8" w14:textId="77777777">
            <w:r>
              <w:t>Original Planned Closing Date</w:t>
            </w:r>
          </w:p>
        </w:tc>
        <w:tc>
          <w:tcPr>
            <w:tcW w:w="5000" w:type="dxa"/>
            <w:noWrap/>
            <w:vAlign w:val="center"/>
          </w:tcPr>
          <w:p w:rsidR="00D802A4" w:rsidRDefault="005650D6" w14:paraId="2D3890D8" w14:textId="77777777">
            <w:pPr>
              <w:jc w:val="right"/>
            </w:pPr>
            <w:r>
              <w:t>Feb 16, 2027</w:t>
            </w:r>
          </w:p>
        </w:tc>
      </w:tr>
      <w:tr w:rsidR="00D802A4" w14:paraId="72658C67" w14:textId="77777777">
        <w:tc>
          <w:tcPr>
            <w:tcW w:w="5000" w:type="dxa"/>
            <w:noWrap/>
          </w:tcPr>
          <w:p w:rsidR="00D802A4" w:rsidRDefault="005650D6" w14:paraId="648670C2" w14:textId="77777777">
            <w:r>
              <w:t>Revised Planned Closing Date</w:t>
            </w:r>
          </w:p>
        </w:tc>
        <w:tc>
          <w:tcPr>
            <w:tcW w:w="5000" w:type="dxa"/>
            <w:noWrap/>
            <w:vAlign w:val="center"/>
          </w:tcPr>
          <w:p w:rsidR="00D802A4" w:rsidRDefault="005650D6" w14:paraId="14A0A84F" w14:textId="77777777">
            <w:pPr>
              <w:jc w:val="right"/>
            </w:pPr>
            <w:r>
              <w:rPr>
                <w:i/>
                <w:iCs/>
              </w:rPr>
              <w:t>(not set or not applicable)</w:t>
            </w:r>
          </w:p>
        </w:tc>
      </w:tr>
    </w:tbl>
    <w:p w:rsidR="00D802A4" w:rsidRDefault="00D802A4" w14:paraId="3CC843FA" w14:textId="77777777">
      <w:pPr>
        <w:sectPr w:rsidR="00D802A4">
          <w:pgSz w:w="11905" w:h="16837" w:orient="portrait"/>
          <w:pgMar w:top="1440" w:right="1440" w:bottom="1440" w:left="1440" w:header="720" w:footer="720" w:gutter="0"/>
          <w:cols w:space="720"/>
        </w:sectPr>
      </w:pPr>
    </w:p>
    <w:p w:rsidR="00D802A4" w:rsidRDefault="005650D6" w14:paraId="69E4B1B3" w14:textId="77777777">
      <w:pPr>
        <w:pStyle w:val="Heading1"/>
      </w:pPr>
      <w:bookmarkStart w:name="_Toc2" w:id="2"/>
      <w:r>
        <w:t>Overall ratings</w:t>
      </w:r>
      <w:bookmarkEnd w:id="2"/>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4496"/>
        <w:gridCol w:w="4497"/>
      </w:tblGrid>
      <w:tr w:rsidR="00D802A4" w14:paraId="60DD8512" w14:textId="77777777">
        <w:tc>
          <w:tcPr>
            <w:tcW w:w="8000" w:type="dxa"/>
            <w:noWrap/>
          </w:tcPr>
          <w:p w:rsidR="00D802A4" w:rsidRDefault="005650D6" w14:paraId="0581FEBE" w14:textId="77777777">
            <w:r>
              <w:t>Overall DO Rating</w:t>
            </w:r>
          </w:p>
        </w:tc>
        <w:tc>
          <w:tcPr>
            <w:tcW w:w="8000" w:type="dxa"/>
            <w:noWrap/>
          </w:tcPr>
          <w:p w:rsidR="00D802A4" w:rsidRDefault="005650D6" w14:paraId="671662E9" w14:textId="77777777">
            <w:r>
              <w:t>Moderately Satisfactory</w:t>
            </w:r>
          </w:p>
        </w:tc>
      </w:tr>
      <w:tr w:rsidR="00D802A4" w14:paraId="7F0A4C71" w14:textId="77777777">
        <w:tc>
          <w:tcPr>
            <w:tcW w:w="8000" w:type="dxa"/>
            <w:noWrap/>
          </w:tcPr>
          <w:p w:rsidR="00D802A4" w:rsidRDefault="005650D6" w14:paraId="2D46EA1E" w14:textId="77777777">
            <w:r>
              <w:t>Overall IP Rating</w:t>
            </w:r>
          </w:p>
        </w:tc>
        <w:tc>
          <w:tcPr>
            <w:tcW w:w="8000" w:type="dxa"/>
            <w:noWrap/>
          </w:tcPr>
          <w:p w:rsidR="00D802A4" w:rsidRDefault="005650D6" w14:paraId="14904DED" w14:textId="77777777">
            <w:r>
              <w:t>Moderately Satisfactory</w:t>
            </w:r>
          </w:p>
        </w:tc>
      </w:tr>
      <w:tr w:rsidR="00D802A4" w14:paraId="7F6091E6" w14:textId="77777777">
        <w:tc>
          <w:tcPr>
            <w:tcW w:w="8000" w:type="dxa"/>
            <w:noWrap/>
          </w:tcPr>
          <w:p w:rsidR="00D802A4" w:rsidRDefault="005650D6" w14:paraId="492398F7" w14:textId="77777777">
            <w:r>
              <w:t>Overall Risk Rating</w:t>
            </w:r>
          </w:p>
        </w:tc>
        <w:tc>
          <w:tcPr>
            <w:tcW w:w="8000" w:type="dxa"/>
            <w:noWrap/>
          </w:tcPr>
          <w:p w:rsidR="00D802A4" w:rsidRDefault="005650D6" w14:paraId="75B0169E" w14:textId="77777777">
            <w:r>
              <w:t>moderate</w:t>
            </w:r>
          </w:p>
        </w:tc>
      </w:tr>
    </w:tbl>
    <w:p w:rsidR="00D802A4" w:rsidRDefault="00D802A4" w14:paraId="36CA10FA" w14:textId="77777777">
      <w:pPr>
        <w:sectPr w:rsidR="00D802A4">
          <w:pgSz w:w="11905" w:h="16837" w:orient="portrait"/>
          <w:pgMar w:top="1440" w:right="1440" w:bottom="1440" w:left="1440" w:header="720" w:footer="720" w:gutter="0"/>
          <w:cols w:space="720"/>
        </w:sectPr>
      </w:pPr>
    </w:p>
    <w:p w:rsidR="00D802A4" w:rsidRDefault="005650D6" w14:paraId="00FA1A5F" w14:textId="77777777">
      <w:pPr>
        <w:pStyle w:val="Heading1"/>
      </w:pPr>
      <w:bookmarkStart w:name="_Toc3" w:id="3"/>
      <w:r>
        <w:t>Development Objective Progress</w:t>
      </w:r>
      <w:bookmarkEnd w:id="3"/>
    </w:p>
    <w:p w:rsidR="00D802A4" w:rsidRDefault="005650D6" w14:paraId="15D24FEF" w14:textId="77777777">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3510"/>
        <w:gridCol w:w="1757"/>
        <w:gridCol w:w="1758"/>
        <w:gridCol w:w="1758"/>
        <w:gridCol w:w="3511"/>
        <w:gridCol w:w="3511"/>
      </w:tblGrid>
      <w:tr w:rsidR="00D802A4" w14:paraId="06D4A160" w14:textId="77777777">
        <w:tc>
          <w:tcPr>
            <w:tcW w:w="16000" w:type="dxa"/>
            <w:gridSpan w:val="6"/>
            <w:noWrap/>
          </w:tcPr>
          <w:p w:rsidR="00D802A4" w:rsidRDefault="005650D6" w14:paraId="405137C0" w14:textId="77777777">
            <w:r>
              <w:rPr>
                <w:b/>
                <w:bCs/>
              </w:rPr>
              <w:t>Description</w:t>
            </w:r>
          </w:p>
        </w:tc>
      </w:tr>
      <w:tr w:rsidR="00D802A4" w14:paraId="312CC7D9" w14:textId="77777777">
        <w:tc>
          <w:tcPr>
            <w:tcW w:w="16000" w:type="dxa"/>
            <w:gridSpan w:val="6"/>
            <w:shd w:val="clear" w:color="auto" w:fill="D9D9D9"/>
            <w:noWrap/>
          </w:tcPr>
          <w:p w:rsidR="00D802A4" w:rsidRDefault="005650D6" w14:paraId="263F88DD" w14:textId="77777777">
            <w:r>
              <w:rPr>
                <w:b/>
                <w:bCs/>
              </w:rPr>
              <w:t>Objective</w:t>
            </w:r>
          </w:p>
          <w:p w:rsidR="00D802A4" w:rsidRDefault="005650D6" w14:paraId="6E724778" w14:textId="77777777">
            <w:r>
              <w:rPr>
                <w:b/>
                <w:bCs/>
              </w:rPr>
              <w:t>To build socio-ecological and economic resilience in four (4) selected landscapes and seascapes on the Eastern Seaboard of the Philippines - (1) Catubig Watershed Samar Island, (2) Aurora Province in the Sierra Madre,  (3) Siargao Island Protected Landscape/Seascape - and along the West Philippine Sea - (4) Calamian Islands in Northern Palawan - through community-based activities for global environmental benefits and sustainable development.</w:t>
            </w:r>
          </w:p>
        </w:tc>
      </w:tr>
      <w:tr w:rsidR="00D802A4" w14:paraId="5BE5A537" w14:textId="77777777">
        <w:tc>
          <w:tcPr>
            <w:tcW w:w="4000" w:type="dxa"/>
            <w:noWrap/>
          </w:tcPr>
          <w:p w:rsidR="00D802A4" w:rsidRDefault="005650D6" w14:paraId="1DFB900C" w14:textId="77777777">
            <w:r>
              <w:rPr>
                <w:b/>
                <w:bCs/>
              </w:rPr>
              <w:t>Description of Indicator</w:t>
            </w:r>
          </w:p>
        </w:tc>
        <w:tc>
          <w:tcPr>
            <w:tcW w:w="2000" w:type="dxa"/>
            <w:noWrap/>
          </w:tcPr>
          <w:p w:rsidR="00D802A4" w:rsidRDefault="005650D6" w14:paraId="56D1E962" w14:textId="77777777">
            <w:r>
              <w:rPr>
                <w:b/>
                <w:bCs/>
              </w:rPr>
              <w:t>Baseline Level</w:t>
            </w:r>
          </w:p>
        </w:tc>
        <w:tc>
          <w:tcPr>
            <w:tcW w:w="2000" w:type="dxa"/>
            <w:noWrap/>
          </w:tcPr>
          <w:p w:rsidR="00D802A4" w:rsidRDefault="005650D6" w14:paraId="4DF34A50" w14:textId="77777777">
            <w:r>
              <w:rPr>
                <w:b/>
                <w:bCs/>
              </w:rPr>
              <w:t>Midterm target level</w:t>
            </w:r>
          </w:p>
        </w:tc>
        <w:tc>
          <w:tcPr>
            <w:tcW w:w="2000" w:type="dxa"/>
            <w:noWrap/>
          </w:tcPr>
          <w:p w:rsidR="00D802A4" w:rsidRDefault="005650D6" w14:paraId="0976C69E" w14:textId="77777777">
            <w:r>
              <w:rPr>
                <w:b/>
                <w:bCs/>
              </w:rPr>
              <w:t>End of project target level</w:t>
            </w:r>
          </w:p>
        </w:tc>
        <w:tc>
          <w:tcPr>
            <w:tcW w:w="4000" w:type="dxa"/>
            <w:noWrap/>
          </w:tcPr>
          <w:p w:rsidR="00D802A4" w:rsidRDefault="005650D6" w14:paraId="2CAE4FED" w14:textId="77777777">
            <w:r>
              <w:rPr>
                <w:b/>
                <w:bCs/>
              </w:rPr>
              <w:t>Level at Jun 30, 2024</w:t>
            </w:r>
          </w:p>
        </w:tc>
        <w:tc>
          <w:tcPr>
            <w:tcW w:w="4000" w:type="dxa"/>
            <w:noWrap/>
          </w:tcPr>
          <w:p w:rsidR="00D802A4" w:rsidRDefault="005650D6" w14:paraId="363CF73D" w14:textId="77777777">
            <w:r>
              <w:rPr>
                <w:b/>
                <w:bCs/>
              </w:rPr>
              <w:t>Cumulative progress since project start as of Jun 30, 2025</w:t>
            </w:r>
          </w:p>
        </w:tc>
      </w:tr>
      <w:tr w:rsidR="00D802A4" w14:paraId="13E785D7" w14:textId="77777777">
        <w:tc>
          <w:tcPr>
            <w:tcW w:w="4000" w:type="dxa"/>
            <w:noWrap/>
          </w:tcPr>
          <w:p w:rsidR="00D802A4" w:rsidRDefault="005650D6" w14:paraId="140028D1" w14:textId="77777777">
            <w:r>
              <w:t>Mandatory Indicator 1:  # direct project beneficiaries disaggregated by gender (individual people)</w:t>
            </w:r>
          </w:p>
        </w:tc>
        <w:tc>
          <w:tcPr>
            <w:tcW w:w="2000" w:type="dxa"/>
            <w:noWrap/>
          </w:tcPr>
          <w:p w:rsidR="00D802A4" w:rsidRDefault="005650D6" w14:paraId="652A9ABD" w14:textId="77777777">
            <w:r>
              <w:t>0</w:t>
            </w:r>
          </w:p>
        </w:tc>
        <w:tc>
          <w:tcPr>
            <w:tcW w:w="2000" w:type="dxa"/>
            <w:noWrap/>
          </w:tcPr>
          <w:p w:rsidR="00D802A4" w:rsidRDefault="005650D6" w14:paraId="2E7F2312" w14:textId="77777777">
            <w:r>
              <w:t>10,000</w:t>
            </w:r>
          </w:p>
          <w:p w:rsidR="00D802A4" w:rsidRDefault="005650D6" w14:paraId="5E713E48" w14:textId="77777777">
            <w:r>
              <w:t>5,000 women; 5,000 men</w:t>
            </w:r>
          </w:p>
          <w:p w:rsidR="00D802A4" w:rsidRDefault="00D802A4" w14:paraId="396F3AB4" w14:textId="77777777"/>
        </w:tc>
        <w:tc>
          <w:tcPr>
            <w:tcW w:w="2000" w:type="dxa"/>
            <w:noWrap/>
          </w:tcPr>
          <w:p w:rsidR="00D802A4" w:rsidRDefault="005650D6" w14:paraId="7B2BF077" w14:textId="77777777">
            <w:r>
              <w:t>20,000</w:t>
            </w:r>
          </w:p>
          <w:p w:rsidR="00D802A4" w:rsidRDefault="005650D6" w14:paraId="5FB506B4" w14:textId="77777777">
            <w:r>
              <w:t>10,000 women; 10,000 men</w:t>
            </w:r>
          </w:p>
          <w:p w:rsidR="00D802A4" w:rsidRDefault="00D802A4" w14:paraId="3ECF22CC" w14:textId="77777777"/>
        </w:tc>
        <w:tc>
          <w:tcPr>
            <w:tcW w:w="4000" w:type="dxa"/>
            <w:noWrap/>
          </w:tcPr>
          <w:p w:rsidR="00D802A4" w:rsidRDefault="005650D6" w14:paraId="2B76CC2B" w14:textId="77777777">
            <w:r>
              <w:t>Target on track.</w:t>
            </w:r>
          </w:p>
          <w:p w:rsidR="00D802A4" w:rsidRDefault="00D802A4" w14:paraId="07836238" w14:textId="77777777"/>
          <w:p w:rsidR="00D802A4" w:rsidRDefault="005650D6" w14:paraId="565BB497" w14:textId="77777777">
            <w:r>
              <w:t>Cumulative progress as of 30 June 2024: 1,820 direct project beneficiaries (9% of the End of Project (EOP) target): 942 women (9% of the EOP target); 876 men (9% of the EOP target); 2 LGBTQIA+.</w:t>
            </w:r>
          </w:p>
          <w:p w:rsidR="00D802A4" w:rsidRDefault="00D802A4" w14:paraId="172BF22E" w14:textId="77777777"/>
          <w:p w:rsidR="00D802A4" w:rsidRDefault="005650D6" w14:paraId="0BF682B7" w14:textId="77777777">
            <w:r>
              <w:t>During the reporting period, the project directly benefited an additional 942 individuals (476 men, 466 women) through the following activities:</w:t>
            </w:r>
          </w:p>
          <w:p w:rsidR="00D802A4" w:rsidRDefault="00D802A4" w14:paraId="0B015C35" w14:textId="77777777"/>
          <w:p w:rsidR="00D802A4" w:rsidRDefault="005650D6" w14:paraId="4E3B19CC" w14:textId="77777777">
            <w:r>
              <w:t>1. Socio-ecological Production Landscape and Seascape (SEPLS) baseline assessment workshops to develop indicators on community and ecosystem resilience (152 participants: 68 men, 84 women):</w:t>
            </w:r>
          </w:p>
          <w:p w:rsidR="00D802A4" w:rsidRDefault="00D802A4" w14:paraId="4C5977F5" w14:textId="77777777"/>
          <w:p w:rsidR="00D802A4" w:rsidRDefault="005650D6" w14:paraId="1F5BCB78" w14:textId="77777777">
            <w:r>
              <w:t>1.1. August 16-18, 2023: Siargao Island Protected Landscape &amp; Seascape (SIPLAS) (53 participants: 15 men, 38 women)</w:t>
            </w:r>
          </w:p>
          <w:p w:rsidR="00D802A4" w:rsidRDefault="00D802A4" w14:paraId="1F998FCA" w14:textId="77777777"/>
          <w:p w:rsidR="00D802A4" w:rsidRDefault="005650D6" w14:paraId="612E0003" w14:textId="77777777">
            <w:r>
              <w:t>1.2. August 23-24, 2023:  Calamian Group of Islands (CGI) (35 participants: 18 men, 17 women)</w:t>
            </w:r>
          </w:p>
          <w:p w:rsidR="00D802A4" w:rsidRDefault="00D802A4" w14:paraId="3CC365CE" w14:textId="77777777"/>
          <w:p w:rsidR="00D802A4" w:rsidRDefault="005650D6" w14:paraId="2F256D33" w14:textId="77777777">
            <w:r>
              <w:t>1.3. September 6-7, 2023: Aurora Province (29 participants: 14 men, 15 women)</w:t>
            </w:r>
          </w:p>
          <w:p w:rsidR="00D802A4" w:rsidRDefault="00D802A4" w14:paraId="49DAFD71" w14:textId="77777777"/>
          <w:p w:rsidR="00D802A4" w:rsidRDefault="005650D6" w14:paraId="7139AF90" w14:textId="77777777">
            <w:r>
              <w:t>1.4. September 7-8, 2023: Catubig Watershed (35 participants: 21 men, 14 women)</w:t>
            </w:r>
          </w:p>
          <w:p w:rsidR="00D802A4" w:rsidRDefault="00D802A4" w14:paraId="4D112D82" w14:textId="77777777"/>
          <w:p w:rsidR="00D802A4" w:rsidRDefault="005650D6" w14:paraId="270BBA5B" w14:textId="77777777">
            <w:r>
              <w:t>The baseline assessments adhered to the Community Development and Knowledge Management for the Satoyama Initiative Programme (COMDEKS) framework, starting with thorough SEPLS baseline assessments. The assessments were conducted through inclusive processes involving stakeholders from various landscapes and seascapes, ensuring the participation of vulnerable groups targeted by the project such as youth, indigenous communities, women, fishers, and farmers.</w:t>
            </w:r>
          </w:p>
          <w:p w:rsidR="00D802A4" w:rsidRDefault="00D802A4" w14:paraId="07F8FEA4" w14:textId="77777777"/>
          <w:p w:rsidR="00D802A4" w:rsidRDefault="005650D6" w14:paraId="764D9B4A" w14:textId="77777777">
            <w:r>
              <w:t>2. Building on the results of the above baseline assessments, the project carried out additional consultations to support the formulation of landscape strategies for each target landscape/seascape (99 participants: 50 men, 49 women):</w:t>
            </w:r>
          </w:p>
          <w:p w:rsidR="00D802A4" w:rsidRDefault="00D802A4" w14:paraId="1A4B4B30" w14:textId="77777777"/>
          <w:p w:rsidR="00D802A4" w:rsidRDefault="005650D6" w14:paraId="55903A17" w14:textId="77777777">
            <w:r>
              <w:t>2.1. October 24, 2023: SIPLAS (23 participants: 9 men, 14 women)</w:t>
            </w:r>
          </w:p>
          <w:p w:rsidR="00D802A4" w:rsidRDefault="00D802A4" w14:paraId="19117367" w14:textId="77777777"/>
          <w:p w:rsidR="00D802A4" w:rsidRDefault="005650D6" w14:paraId="4D84F13C" w14:textId="77777777">
            <w:r>
              <w:t>2.2. October 26, 2023: Catubig Watershed (22 participants: 14 men, 8 women)</w:t>
            </w:r>
          </w:p>
          <w:p w:rsidR="00D802A4" w:rsidRDefault="00D802A4" w14:paraId="00277B32" w14:textId="77777777"/>
          <w:p w:rsidR="00D802A4" w:rsidRDefault="005650D6" w14:paraId="05ADCBF7" w14:textId="77777777">
            <w:r>
              <w:t>2.3. November 9, 2023: CGI (24 participants: 13 men, 11 women)</w:t>
            </w:r>
          </w:p>
          <w:p w:rsidR="00D802A4" w:rsidRDefault="00D802A4" w14:paraId="777668F1" w14:textId="77777777"/>
          <w:p w:rsidR="00D802A4" w:rsidRDefault="005650D6" w14:paraId="14A4E631" w14:textId="77777777">
            <w:r>
              <w:t>2.4. November 21, 2023: Aurora Province (30 participants: 14 men, 16 women)</w:t>
            </w:r>
          </w:p>
          <w:p w:rsidR="00D802A4" w:rsidRDefault="00D802A4" w14:paraId="151FA412" w14:textId="77777777"/>
          <w:p w:rsidR="00D802A4" w:rsidRDefault="005650D6" w14:paraId="79E5F7D7" w14:textId="77777777">
            <w:r>
              <w:t>During the above consultations 2.1 to 2.4, the draft landscape strategies were evaluated against their effectiveness in local contexts.</w:t>
            </w:r>
          </w:p>
          <w:p w:rsidR="00D802A4" w:rsidRDefault="00D802A4" w14:paraId="0661E0E1" w14:textId="77777777"/>
          <w:p w:rsidR="00D802A4" w:rsidRDefault="005650D6" w14:paraId="73FCCF42" w14:textId="77777777">
            <w:r>
              <w:t>3. Capacity building writing workshops to support the development of high-quality proposals by potential grantees (270 participants: 122 men, 148 women):</w:t>
            </w:r>
          </w:p>
          <w:p w:rsidR="00D802A4" w:rsidRDefault="00D802A4" w14:paraId="44A807AB" w14:textId="77777777"/>
          <w:p w:rsidR="00D802A4" w:rsidRDefault="005650D6" w14:paraId="7D3B0C26" w14:textId="77777777">
            <w:r>
              <w:t>3.1. September 20-22, 2023: SIPLAS (55 participants: 27 men, 28 women)</w:t>
            </w:r>
          </w:p>
          <w:p w:rsidR="00D802A4" w:rsidRDefault="00D802A4" w14:paraId="5D4E169F" w14:textId="77777777"/>
          <w:p w:rsidR="00D802A4" w:rsidRDefault="005650D6" w14:paraId="17C6C587" w14:textId="77777777">
            <w:r>
              <w:t>3.2. September 26-30, 2023: Catubig Watershed Northern Samar (44 participants: 23 men, 21 women)</w:t>
            </w:r>
          </w:p>
          <w:p w:rsidR="00D802A4" w:rsidRDefault="00D802A4" w14:paraId="3F9497DF" w14:textId="77777777"/>
          <w:p w:rsidR="00D802A4" w:rsidRDefault="005650D6" w14:paraId="429318F5" w14:textId="77777777">
            <w:r>
              <w:t>3.3. September 20-22, 2023: CGI (106 participants: 38 men, 68 women)</w:t>
            </w:r>
          </w:p>
          <w:p w:rsidR="00D802A4" w:rsidRDefault="00D802A4" w14:paraId="20314BC4" w14:textId="77777777"/>
          <w:p w:rsidR="00D802A4" w:rsidRDefault="005650D6" w14:paraId="1E347319" w14:textId="77777777">
            <w:r>
              <w:t>3.4. September 26-30, 2023: Aurora Province (65 participants: 34 men, 31 women)</w:t>
            </w:r>
          </w:p>
          <w:p w:rsidR="00D802A4" w:rsidRDefault="00D802A4" w14:paraId="5D305834" w14:textId="77777777"/>
          <w:p w:rsidR="00D802A4" w:rsidRDefault="005650D6" w14:paraId="22B49FBB" w14:textId="77777777">
            <w:r>
              <w:t>The writing workshop comprised multiple sessions focusing on guiding participants with providing high quality information for the various grant proposal sections, to introduce participants to the UNDP’s approach to Social and Environmental Standards (SES). The workshops resulted in the development of 70 proposals, of which 64 were regular grants, 5 were strategic grants, and 1 was for Landscape Level NGO hub grant.</w:t>
            </w:r>
          </w:p>
          <w:p w:rsidR="00D802A4" w:rsidRDefault="00D802A4" w14:paraId="06607E70" w14:textId="77777777"/>
          <w:p w:rsidR="00D802A4" w:rsidRDefault="005650D6" w14:paraId="3EDF3653" w14:textId="77777777">
            <w:r>
              <w:t>4. Biodiversity awareness and capacity events for the youth sector, or #Youth4Biodiversity (#Y4B) Camp (216 participants: 123 men, 93 women). These youth engagement activities were conducted on the following dates:</w:t>
            </w:r>
          </w:p>
          <w:p w:rsidR="00D802A4" w:rsidRDefault="005650D6" w14:paraId="1433EB5E" w14:textId="77777777">
            <w:r>
              <w:t>4.1. October 11-16, 2023: SIPLAS (55 participants: 27 men, 28 women)</w:t>
            </w:r>
          </w:p>
          <w:p w:rsidR="00D802A4" w:rsidRDefault="005650D6" w14:paraId="26D92721" w14:textId="77777777">
            <w:r>
              <w:t>4.2. October 19-22, 2023: CGI (82 participants: 49 men, 33 women)</w:t>
            </w:r>
          </w:p>
          <w:p w:rsidR="00D802A4" w:rsidRDefault="005650D6" w14:paraId="73BED661" w14:textId="77777777">
            <w:r>
              <w:t>4.3. November 15-20, 2023: Catubig Watershed (40 participants: 25 men, 15 women)</w:t>
            </w:r>
          </w:p>
          <w:p w:rsidR="00D802A4" w:rsidRDefault="005650D6" w14:paraId="7B334CAF" w14:textId="77777777">
            <w:r>
              <w:t>4.4. November 20-27, 2023: Aurora Province (39 participants: 22 men, 17 women)</w:t>
            </w:r>
          </w:p>
          <w:p w:rsidR="00D802A4" w:rsidRDefault="005650D6" w14:paraId="7A11C2BE" w14:textId="77777777">
            <w:r>
              <w:t>The camp resulted in 28 projects being pitched or presented to the #Youth4Biodiversity (#Y4B) committee of the Foundation for the Philippine Environment (FPE). Out of these 28 pitched projects, 10 project proposals were further developed and submitted for FPE’s #Y4B Grant funding mechanism, of which six are currently being considered for potential funding.</w:t>
            </w:r>
          </w:p>
          <w:p w:rsidR="00D802A4" w:rsidRDefault="00D802A4" w14:paraId="1668E5E4" w14:textId="77777777"/>
          <w:p w:rsidR="00D802A4" w:rsidRDefault="005650D6" w14:paraId="514820D6" w14:textId="77777777">
            <w:r>
              <w:t>5. Call for submission and review of grant proposals.</w:t>
            </w:r>
          </w:p>
          <w:p w:rsidR="00D802A4" w:rsidRDefault="005650D6" w14:paraId="572096BF" w14:textId="77777777">
            <w:r>
              <w:t>On January 15, 2024, the project launched its first call for proposals, following which 50 proposals from all 4 project landscapes/seascapes were submitted (3 planning grants, 8 strategic grants, 2 landscape level NGO hub grants, and 37 regular grants. Of these 50 proposals, 44% came from Aurora Province, 26% from CGI, 16% from SIPLAS, and 14% from the Catubig Watershed. These submissions underwent a rigorous, multi-layered reviews, which included the following steps:</w:t>
            </w:r>
          </w:p>
          <w:p w:rsidR="00D802A4" w:rsidRDefault="00D802A4" w14:paraId="1843F189" w14:textId="77777777"/>
          <w:p w:rsidR="00D802A4" w:rsidRDefault="005650D6" w14:paraId="0195C793" w14:textId="77777777">
            <w:r>
              <w:t>5.1. Review by the Project Management Unit (PMU) focusing on eligibility criteria, completeness of submission, and required information.</w:t>
            </w:r>
          </w:p>
          <w:p w:rsidR="00D802A4" w:rsidRDefault="00D802A4" w14:paraId="6A160BB8" w14:textId="77777777"/>
          <w:p w:rsidR="00D802A4" w:rsidRDefault="005650D6" w14:paraId="6ACC9052" w14:textId="77777777">
            <w:r>
              <w:t>5.2. Review by the Landscape Round Table Committee (LRTC) focusing on the alignment of proposals with the corresponding landscape strategy. Prior orientations were conducted to ensure that the committee understands the criteria against which projects are being evaluated. They were organized on the following dates (105 participants: 58 men, 47 women):</w:t>
            </w:r>
          </w:p>
          <w:p w:rsidR="00D802A4" w:rsidRDefault="005650D6" w14:paraId="44C99678" w14:textId="77777777">
            <w:r>
              <w:t>5.2.1 March 13-17, 2024: SIPLAS (16 participants: 10 men, 6 women)</w:t>
            </w:r>
          </w:p>
          <w:p w:rsidR="00D802A4" w:rsidRDefault="005650D6" w14:paraId="049E5D07" w14:textId="77777777">
            <w:r>
              <w:t>5.2.2 March 13-15, 2024: Catubig Watershed (19 participants: 13 men, 6 women)</w:t>
            </w:r>
          </w:p>
          <w:p w:rsidR="00D802A4" w:rsidRDefault="005650D6" w14:paraId="4A638A71" w14:textId="77777777">
            <w:r>
              <w:t>5.2.3 March 18-20, 2024: Aurora Province (37 participants: 20 men, 17 women)</w:t>
            </w:r>
          </w:p>
          <w:p w:rsidR="00D802A4" w:rsidRDefault="005650D6" w14:paraId="67C2F407" w14:textId="77777777">
            <w:r>
              <w:t>5.2.4 March 21-24, 2024: CGI (33 participants: 15 men, 18 women)</w:t>
            </w:r>
          </w:p>
          <w:p w:rsidR="00D802A4" w:rsidRDefault="00D802A4" w14:paraId="3D18AEB9" w14:textId="77777777"/>
          <w:p w:rsidR="00D802A4" w:rsidRDefault="005650D6" w14:paraId="76F3C48C" w14:textId="77777777">
            <w:r>
              <w:t>During the LRTC orientations, an agreement was reached to create Technical Working Groups (TWG), as ad hoc committees representing key LRTC members that has technical competence and skills to evaluate proposals and their alignment with the landscape strategy. Based on the TWGs reviews, the chair of the TWG presented the group’s finding to their respective LRTCs (100 participants: 55 men, 45 women) on:</w:t>
            </w:r>
          </w:p>
          <w:p w:rsidR="00D802A4" w:rsidRDefault="005650D6" w14:paraId="00C82ACC" w14:textId="77777777">
            <w:r>
              <w:t>5.2.5</w:t>
            </w:r>
            <w:r>
              <w:tab/>
            </w:r>
            <w:r>
              <w:t>May 1-4, 2024: SIPLAS (29 participants: 13 men, 16 women)</w:t>
            </w:r>
          </w:p>
          <w:p w:rsidR="00D802A4" w:rsidRDefault="005650D6" w14:paraId="1A1E71DC" w14:textId="77777777">
            <w:r>
              <w:t>5.2.6</w:t>
            </w:r>
            <w:r>
              <w:tab/>
            </w:r>
            <w:r>
              <w:t>May 7-6, 2024: Aurora Province (25 participants: 14 men, 11 women)</w:t>
            </w:r>
          </w:p>
          <w:p w:rsidR="00D802A4" w:rsidRDefault="005650D6" w14:paraId="1D02BCAC" w14:textId="77777777">
            <w:r>
              <w:t>5.2.7</w:t>
            </w:r>
            <w:r>
              <w:tab/>
            </w:r>
            <w:r>
              <w:t>May 9-12, 2024: Catubig Watershed (20 participants: 15 men, 5 women)</w:t>
            </w:r>
          </w:p>
          <w:p w:rsidR="00D802A4" w:rsidRDefault="005650D6" w14:paraId="0D0CD6DC" w14:textId="77777777">
            <w:r>
              <w:t>5.2.8</w:t>
            </w:r>
            <w:r>
              <w:tab/>
            </w:r>
            <w:r>
              <w:t>May 13-16, 2024: CGI (26 participants: 13 men, 13 women)</w:t>
            </w:r>
          </w:p>
          <w:p w:rsidR="00D802A4" w:rsidRDefault="00D802A4" w14:paraId="409B72E0" w14:textId="77777777"/>
          <w:p w:rsidR="00D802A4" w:rsidRDefault="005650D6" w14:paraId="2692DF5E" w14:textId="77777777">
            <w:r>
              <w:t>40 proposals were reviewed by the LRTC. Of this, 16 proposals (2 strategic, 14 regular grants) were from Aurora Province Landscape, 13 proposals (1 strategic, 12 regular grants) were from CGI, 7 proposals (1 strategic, 6 regular grants) were from Catubig Watershed, and 4 proposals (2 strategic, 2 regular grants) were from SIPLAS. The LRTC has subsequently recommended endorsement of the 40 proposals to the Project Technical Review Committee (PTRC).</w:t>
            </w:r>
          </w:p>
          <w:p w:rsidR="00D802A4" w:rsidRDefault="00D802A4" w14:paraId="6B8FEF2A" w14:textId="77777777"/>
          <w:p w:rsidR="00D802A4" w:rsidRDefault="005650D6" w14:paraId="0BD70C2E" w14:textId="77777777">
            <w:r>
              <w:t>5.3. Review by PTRC composed of National Government Agencies, CSOs, and the United Nations Development Programme (UNDP). The PTRC ensures the project proposals’ technical appropriateness and reasonableness of the requested budget. During this reporting period, the PTRC reviewed proposals on May 28-31 and June 6, 21, 2024 resulting to recommendation of 11 proposals for consideration by the NSC. The 29 remaining proposals will be reviewed in the next reporting period.</w:t>
            </w:r>
          </w:p>
          <w:p w:rsidR="00D802A4" w:rsidRDefault="00D802A4" w14:paraId="53FB062B" w14:textId="77777777"/>
          <w:p w:rsidR="00D802A4" w:rsidRDefault="005650D6" w14:paraId="60288812" w14:textId="77777777">
            <w:r>
              <w:t>5.4. Review by the NSC which ensures that the review process aligns with the project guidelines. While no grant proposals were approved during the reporting period, the NSC is expected to approve the 11 proposals endorsed by the PTRC at its next meeting on 10 July 2024. These grants are expected to benefit an additional 19,106 individuals (9,191 men and 9,915 women), representing 96% of the End-Of-Project (EOP) target. A breakdown by each of these 11 grant proposals is provided hereunder:</w:t>
            </w:r>
          </w:p>
          <w:p w:rsidR="00D802A4" w:rsidRDefault="005650D6" w14:paraId="0DF8FC53" w14:textId="77777777">
            <w:r>
              <w:t>1. Regular Grant 1: CAT-RG-002 "Safeguarding of Catubig Watershed through Development of Integrated Projects (SACWADIP) proposed by Catubig Association for the Protection of Watershed Area (CAPWA): 315 individuals (158 men, 157 women);</w:t>
            </w:r>
          </w:p>
          <w:p w:rsidR="00D802A4" w:rsidRDefault="005650D6" w14:paraId="23F4B134" w14:textId="77777777">
            <w:r>
              <w:t>2. Regular Grant 2: CAT-RG-006 "Integrated Environmental Health, Sanitation, and Watershed Management in the Rehabilitation of the Water Supply System in Barangays, San Jorge, Quezon, and Dolores, in the Municipality of Las Navas, Northern Samar proposed by Caritas Catarman Foundation, Inc. (CCFI): 1,816 individuals (917 men, 899 women);</w:t>
            </w:r>
          </w:p>
          <w:p w:rsidR="00D802A4" w:rsidRDefault="005650D6" w14:paraId="7D3EE271" w14:textId="77777777">
            <w:r>
              <w:t>3. Strategic Grant 1: CAT-SG-001 “Enhancing Resiliency of Selected Communities in Catubig Watershed Areas through Community-Based Green Financing” by Samar Crusade against Poverty, Inc. (SCPI): 1,000 individuals (600 men, 400 women);</w:t>
            </w:r>
          </w:p>
          <w:p w:rsidR="00D802A4" w:rsidRDefault="005650D6" w14:paraId="7081FEFC" w14:textId="77777777">
            <w:r>
              <w:t>4. Regular Grant 3: CGI-RG-001 “Enhancing Resilience of Local Conservation Area and Lubao Micro-Watershed Through Biodiversity Protection, Management and Water 3R In Salvacion Busuanga Palawan” proposed by the Salvacion Busuanga Rural Waterworks (SBRWSA): 2,331 individuals (1,213 men, 1,118 women);</w:t>
            </w:r>
          </w:p>
          <w:p w:rsidR="00D802A4" w:rsidRDefault="005650D6" w14:paraId="46200601" w14:textId="77777777">
            <w:r>
              <w:t>5. Regular Grant 4: CGI-RG-002 “Resilience Building of Communities and the Environment through Food Forest Systems in Busuanga, Palawan (ReBuild Food in Busuanga, Palawan)” by the Communities for Resilience, Inc. (CFR): 509 individuals (265 men, 244 women);</w:t>
            </w:r>
          </w:p>
          <w:p w:rsidR="00D802A4" w:rsidRDefault="005650D6" w14:paraId="559322F6" w14:textId="77777777">
            <w:r>
              <w:t>6. Regular Grant 5: CGI-RG-011 “Integrated Coastal and Marine Management Towards Ecosystem and Community Resilience” by the Culion Foundation, Inc. (CFI): 700 individuals (450 men, 250 women);</w:t>
            </w:r>
          </w:p>
          <w:p w:rsidR="00D802A4" w:rsidRDefault="005650D6" w14:paraId="08B125F7" w14:textId="77777777">
            <w:r>
              <w:t>7. Strategic Grant 2: CGI-SG-001 “Strategic Collaborative Responses Towards Environmental Sustainability (SCORES) Project” by The Samdhana Institute: 410 individuals (205 men, 205 women);</w:t>
            </w:r>
          </w:p>
          <w:p w:rsidR="00D802A4" w:rsidRDefault="005650D6" w14:paraId="0F0A2C1B" w14:textId="77777777">
            <w:r>
              <w:t>8. Regular Grant 6: SIA-RG-002 “Circular Economy Initiative: Integrating Upcycled Waste and Sustainable Practices in Siargao” by Nature Kids of Siargao Association, Inc..Regular Grant 6: SIA-RG-002 “Circular Economy Initiative: Integrating Upcycled Waste and Sustainable Practices in Siargao” by Nature Kids of Siargao Association, Inc.: 2,614 individuals (1,056 men, 1,558 women);</w:t>
            </w:r>
          </w:p>
          <w:p w:rsidR="00D802A4" w:rsidRDefault="005650D6" w14:paraId="144AC434" w14:textId="77777777">
            <w:r>
              <w:t>9. Strategic Grant 3: SIA-SG-001 “Pro-active and Resilient Environmental Protection and Rehabilitation Efforts in Siargao Islands (PREPARE Siargao)” by Holistic Community Development &amp; Initiatives, Inc. (HCDI): 675 individuals (334 men, 341 women);</w:t>
            </w:r>
          </w:p>
          <w:p w:rsidR="00D802A4" w:rsidRDefault="005650D6" w14:paraId="1355C1CE" w14:textId="77777777">
            <w:r>
              <w:t>10. Strategic Grant 4: SIA-SG-003 “KAHIUSA: Empowering PACBRMA Communities through Collaboration and Capacity Building for Sustainable Resource Management in SIPLAS” by Lokal Lab Siargao (LKLLB): 4,236 individuals (2,198 men, 2,038 women);</w:t>
            </w:r>
          </w:p>
          <w:p w:rsidR="00D802A4" w:rsidRDefault="005650D6" w14:paraId="5BF8B72E" w14:textId="77777777">
            <w:r>
              <w:t>11. Strategic Grant 5: AUP-SG-002 “Fostering Socio-ecological resilience in Aurora Province: linking community-based and integrated watershed management approaches” by Daloy ng Buhay, Inc. (DALUHAY): 4,500 individuals (1,795 men, 2,705 women).</w:t>
            </w:r>
          </w:p>
          <w:p w:rsidR="00D802A4" w:rsidRDefault="00D802A4" w14:paraId="6F983427" w14:textId="77777777"/>
          <w:p w:rsidR="00D802A4" w:rsidRDefault="005650D6" w14:paraId="3D15B135" w14:textId="77777777">
            <w:r>
              <w:t>The remaining 39 proposals, if approved during the upcoming reporting period, are expected to further contribute to this indicator EOP target by an additional 12,208 direct project beneficiaries (6,848 men and 5,360 women). This will be reported in the next PIR.</w:t>
            </w:r>
          </w:p>
          <w:p w:rsidR="00D802A4" w:rsidRDefault="00D802A4" w14:paraId="043C0D75" w14:textId="77777777"/>
          <w:p w:rsidR="00D802A4" w:rsidRDefault="005650D6" w14:paraId="0EDCF4C2" w14:textId="77777777">
            <w:r>
              <w:t>All information above is supported by evidence Annex 1 - Mandatory Indicator 1 available at: https://dub.sh/PIMS6254-Annex1.</w:t>
            </w:r>
          </w:p>
        </w:tc>
        <w:tc>
          <w:tcPr>
            <w:tcW w:w="4000" w:type="dxa"/>
            <w:noWrap/>
          </w:tcPr>
          <w:p w:rsidR="00D802A4" w:rsidRDefault="005650D6" w14:paraId="4DA6733E" w14:textId="77777777">
            <w:r>
              <w:t>Target achieved.</w:t>
            </w:r>
          </w:p>
          <w:p w:rsidR="00D802A4" w:rsidRDefault="00D802A4" w14:paraId="059FF748" w14:textId="77777777"/>
          <w:p w:rsidR="00D802A4" w:rsidRDefault="005650D6" w14:paraId="64DE2BE4" w14:textId="77777777">
            <w:r>
              <w:t>Cumulative progress as of 30 June 2025: 36,104 direct project beneficiaries (180.52% of EOP Target), with 17,953 women (179.53% of EOP target) and 18,149 men (181.49% of EOP Target) and 2 LGBTQIA+.</w:t>
            </w:r>
          </w:p>
          <w:p w:rsidR="00D802A4" w:rsidRDefault="00D802A4" w14:paraId="3A46C682" w14:textId="77777777"/>
          <w:p w:rsidR="00D802A4" w:rsidRDefault="005650D6" w14:paraId="483A4CA8" w14:textId="77777777">
            <w:r>
              <w:t>During this reporting period, and in addition to the 1,820 direct beneficiaries reported last year, this figure represents an additional 17,273 men and 17,011 women from four project sites:</w:t>
            </w:r>
          </w:p>
          <w:p w:rsidR="00D802A4" w:rsidRDefault="005650D6" w14:paraId="7F9BA44A" w14:textId="77777777">
            <w:r>
              <w:t>-</w:t>
            </w:r>
            <w:r>
              <w:tab/>
            </w:r>
            <w:r>
              <w:t>Aurora province - 17,136</w:t>
            </w:r>
          </w:p>
          <w:p w:rsidR="00D802A4" w:rsidRDefault="005650D6" w14:paraId="10FAB43B" w14:textId="77777777">
            <w:r>
              <w:t>-</w:t>
            </w:r>
            <w:r>
              <w:tab/>
            </w:r>
            <w:r>
              <w:t>Calamian Group of Islands (CGI) - 2,116</w:t>
            </w:r>
          </w:p>
          <w:p w:rsidR="00D802A4" w:rsidRDefault="005650D6" w14:paraId="7CE0ECF5" w14:textId="77777777">
            <w:r>
              <w:t>-</w:t>
            </w:r>
            <w:r>
              <w:tab/>
            </w:r>
            <w:r>
              <w:t>Catubig Watershed - 10,116</w:t>
            </w:r>
          </w:p>
          <w:p w:rsidR="00D802A4" w:rsidRDefault="005650D6" w14:paraId="5BEF75AD" w14:textId="77777777">
            <w:r>
              <w:t>-</w:t>
            </w:r>
            <w:r>
              <w:tab/>
            </w:r>
            <w:r>
              <w:t>Siargao Island Protected Landscape; and Seascape (SIPLAS) - 4,916</w:t>
            </w:r>
          </w:p>
          <w:p w:rsidR="00D802A4" w:rsidRDefault="00D802A4" w14:paraId="0C8265A9" w14:textId="77777777"/>
          <w:p w:rsidR="00D802A4" w:rsidRDefault="005650D6" w14:paraId="0182C8E2" w14:textId="77777777">
            <w:r>
              <w:t>This accomplishment was not only achieved by the 17 grantees whose partnership agreements were approved during the last quarter of 2024 and early first quarter of 2025, but it was also achieved by their partner community organizations, as listed below. While there were already 45 approved grants during this reporting period, most of the grantees were still in early stages of project implementation and some were only approved during the second quarter of 2025, and, therefore, they could not contribute for th</w:t>
            </w:r>
            <w:r>
              <w:t>is particular target. It is expected that the figures for the project's direct beneficiaries will likely increase during the next reporting period once all the other approved grants are able to contribute to this target.</w:t>
            </w:r>
          </w:p>
          <w:p w:rsidR="00D802A4" w:rsidRDefault="00D802A4" w14:paraId="11613A54" w14:textId="77777777"/>
          <w:p w:rsidR="00D802A4" w:rsidRDefault="005650D6" w14:paraId="5A077325" w14:textId="77777777">
            <w:r>
              <w:t>The direct beneficiaries of the project during this reporting period were members of the following community-based organizations that availed grants from the project and their partner community organizations:</w:t>
            </w:r>
          </w:p>
          <w:p w:rsidR="00D802A4" w:rsidRDefault="00D802A4" w14:paraId="6AD9347C" w14:textId="77777777"/>
          <w:p w:rsidR="00D802A4" w:rsidRDefault="005650D6" w14:paraId="29BF59B5" w14:textId="77777777">
            <w:r>
              <w:t>Aurora Province (17,136)</w:t>
            </w:r>
          </w:p>
          <w:p w:rsidR="00D802A4" w:rsidRDefault="005650D6" w14:paraId="2CE1345F" w14:textId="77777777">
            <w:r>
              <w:t>-</w:t>
            </w:r>
            <w:r>
              <w:tab/>
            </w:r>
            <w:r>
              <w:t>Dimasalang Egongot Tribe Farmers Association, Inc. (DETFAWAI) - 484 direct beneficiaries</w:t>
            </w:r>
          </w:p>
          <w:p w:rsidR="00D802A4" w:rsidRDefault="005650D6" w14:paraId="56A2DC27" w14:textId="77777777">
            <w:r>
              <w:t>-</w:t>
            </w:r>
            <w:r>
              <w:tab/>
            </w:r>
            <w:r>
              <w:t>Eight communities (Cozo, Dianawan, Diarabasin, Dikapinisan, L. Pimentel, Masagana, Paleg,  and Zabali) assisted by Daloy ng Buhay (DALUHAY), Inc. - 16,652 direct beneficiaries</w:t>
            </w:r>
          </w:p>
          <w:p w:rsidR="00D802A4" w:rsidRDefault="00D802A4" w14:paraId="40E4B47C" w14:textId="77777777"/>
          <w:p w:rsidR="00D802A4" w:rsidRDefault="005650D6" w14:paraId="20ECDD9A" w14:textId="77777777">
            <w:r>
              <w:t>CGI (2,116)</w:t>
            </w:r>
          </w:p>
          <w:p w:rsidR="00D802A4" w:rsidRDefault="005650D6" w14:paraId="39FE2DA5" w14:textId="77777777">
            <w:r>
              <w:t>-</w:t>
            </w:r>
            <w:r>
              <w:tab/>
            </w:r>
            <w:r>
              <w:t>Communities for Resilience, (CFR) Inc., 509 direct beneficiaries</w:t>
            </w:r>
          </w:p>
          <w:p w:rsidR="00D802A4" w:rsidRDefault="005650D6" w14:paraId="6729DE78" w14:textId="77777777">
            <w:r>
              <w:t>-</w:t>
            </w:r>
            <w:r>
              <w:tab/>
            </w:r>
            <w:r>
              <w:t>The Samdhana Institute, 410 direct beneficiaries</w:t>
            </w:r>
          </w:p>
          <w:p w:rsidR="00D802A4" w:rsidRDefault="005650D6" w14:paraId="4C487F07" w14:textId="77777777">
            <w:r>
              <w:t>-</w:t>
            </w:r>
            <w:r>
              <w:tab/>
            </w:r>
            <w:r>
              <w:t>Culion Foundation, Inc. (CFI), 445 direct beneficiaries</w:t>
            </w:r>
          </w:p>
          <w:p w:rsidR="00D802A4" w:rsidRDefault="005650D6" w14:paraId="143E1CCB" w14:textId="77777777">
            <w:r>
              <w:t>-</w:t>
            </w:r>
            <w:r>
              <w:tab/>
            </w:r>
            <w:r>
              <w:t>Salvacion-Busuanga Rural Waterworks &amp; Sanitation Assn., Inc. (SBRWSA), 56 direct beneficiaries</w:t>
            </w:r>
          </w:p>
          <w:p w:rsidR="00D802A4" w:rsidRDefault="005650D6" w14:paraId="2DE344C8" w14:textId="77777777">
            <w:r>
              <w:t>-</w:t>
            </w:r>
            <w:r>
              <w:tab/>
            </w:r>
            <w:r>
              <w:t>Community Centred Conservation (C3) Philippines, 56 direct beneficiaries</w:t>
            </w:r>
          </w:p>
          <w:p w:rsidR="00D802A4" w:rsidRDefault="005650D6" w14:paraId="02D26681" w14:textId="77777777">
            <w:r>
              <w:t>-</w:t>
            </w:r>
            <w:r>
              <w:tab/>
            </w:r>
            <w:r>
              <w:t>Barangay Decalachao Farmers Assoc. (BDFA), 80 direct beneficiaries</w:t>
            </w:r>
          </w:p>
          <w:p w:rsidR="00D802A4" w:rsidRDefault="005650D6" w14:paraId="5CB31F07" w14:textId="77777777">
            <w:r>
              <w:t>-</w:t>
            </w:r>
            <w:r>
              <w:tab/>
            </w:r>
            <w:r>
              <w:t>Sikap Sugod Farmers Assoc. (SSFA), 560 direct beneficiaries</w:t>
            </w:r>
          </w:p>
          <w:p w:rsidR="00D802A4" w:rsidRDefault="00D802A4" w14:paraId="5EBA4A47" w14:textId="77777777"/>
          <w:p w:rsidR="00D802A4" w:rsidRDefault="005650D6" w14:paraId="2BC06481" w14:textId="77777777">
            <w:r>
              <w:t>Catubig Watershed (10,116)</w:t>
            </w:r>
          </w:p>
          <w:p w:rsidR="00D802A4" w:rsidRDefault="005650D6" w14:paraId="0EDC731F" w14:textId="77777777">
            <w:r>
              <w:t>-</w:t>
            </w:r>
            <w:r>
              <w:tab/>
            </w:r>
            <w:r>
              <w:t>Samar Center for Rural Education and Development, Inc (SACRED) assisted Biodiversity Advocates Farmer Assoc. (BAFA) and five (5) other communities -  4,812 direct beneficiaries: (1) Nahulid, (2) Nabulo, (3) San Jose, (4) Magtuad, and (5) Sulitan</w:t>
            </w:r>
          </w:p>
          <w:p w:rsidR="00D802A4" w:rsidRDefault="005650D6" w14:paraId="3A391FF7" w14:textId="77777777">
            <w:r>
              <w:t>-</w:t>
            </w:r>
            <w:r>
              <w:tab/>
            </w:r>
            <w:r>
              <w:t>Caritas Catarman Foundation, Inc (CCFI) - 1,817 direct beneficiaries.</w:t>
            </w:r>
          </w:p>
          <w:p w:rsidR="00D802A4" w:rsidRDefault="005650D6" w14:paraId="3C8C06F2" w14:textId="77777777">
            <w:r>
              <w:t>-</w:t>
            </w:r>
            <w:r>
              <w:tab/>
            </w:r>
            <w:r>
              <w:t>Catubig Association for the Protection of Watershed Area (CAPWA) - 126 direct beneficiaries: (1) Hiparayan Farmer's Assoc., (2) Mag-ongon, (3) Viena Maria Farmers Assoc. (VMFA), (4) Cagmanaba Upland Farmer's Assoc., (5) Poblacion 1</w:t>
            </w:r>
          </w:p>
          <w:p w:rsidR="00D802A4" w:rsidRDefault="005650D6" w14:paraId="62F33EF0" w14:textId="77777777">
            <w:r>
              <w:t>-</w:t>
            </w:r>
            <w:r>
              <w:tab/>
            </w:r>
            <w:r>
              <w:t>Center for Sustainable Aquaculture and Agri-based Innovations (CenSAAI) - 894 direct beneficiaries</w:t>
            </w:r>
          </w:p>
          <w:p w:rsidR="00D802A4" w:rsidRDefault="005650D6" w14:paraId="28C272E7" w14:textId="77777777">
            <w:r>
              <w:t>-</w:t>
            </w:r>
            <w:r>
              <w:tab/>
            </w:r>
            <w:r>
              <w:t>Samar Crusade against Poverty, Inc. (SCPI) assisted 20 Village Conservation Teams (VCTs) - 600 direct beneficiaries: (1) Brgy. Tangbo, (2) Brgy. Irawahan, (3) Brgy. Natawo, (4) Brgy. Rizal, (5) Brgy. Osmena, (6) Brgy. Oleras, (7) Brgy. Magtuad, (8) Brgy. Guyo, (9) Brgy. Simora, (10) Brgy. Mabini, (11) Brgy. Hitapian, (12) Brgy. Bongliw, (13) Brgy. CM Recto, (14) Brgy. Taylor, (15) Brgy. Inuboran, (16) Brgy. Pangpang, (17) Brgy. La Perla, (18) Brgy. Bugtosan, (19) Brgy. Lenoy-ahan, and (20) Brgy. Mag-ongon</w:t>
            </w:r>
          </w:p>
          <w:p w:rsidR="00D802A4" w:rsidRDefault="005650D6" w14:paraId="46BEC91B" w14:textId="77777777">
            <w:r>
              <w:t>-</w:t>
            </w:r>
            <w:r>
              <w:tab/>
            </w:r>
            <w:r>
              <w:t>Center for Empowerment and Resource Development, Inc. (CERD) assisted five community-based organizations (CBOs) - 1,867 direct beneficiaries: (1) Sarayo Forests, Inc., (2) YLEAD Development Initiatives Org. Inc., (3) BINGLAD Farmers Assoc., (4) Osmena Integrated Farmers Assoc., and (5) Alibanak Fisherfolk Assoc.</w:t>
            </w:r>
          </w:p>
          <w:p w:rsidR="00D802A4" w:rsidRDefault="00D802A4" w14:paraId="2035EBB3" w14:textId="77777777"/>
          <w:p w:rsidR="00D802A4" w:rsidRDefault="005650D6" w14:paraId="4F9FF22A" w14:textId="77777777">
            <w:r>
              <w:t>SIPLAS (4,916)</w:t>
            </w:r>
          </w:p>
          <w:p w:rsidR="00D802A4" w:rsidRDefault="005650D6" w14:paraId="461A21AE" w14:textId="77777777">
            <w:r>
              <w:t>-</w:t>
            </w:r>
            <w:r>
              <w:tab/>
            </w:r>
            <w:r>
              <w:t>Siargao Economic Development and Microfinance Foundation, Inc. (SEDMFI) assisted 11 people’s organizations (POs) -  973 direct beneficiaries: (1) Tawin-Tawin Farmers Assoc. (TAWFA), (2) Integrated Learning Area for Junior Agripreneurs (ILAJA), (3) Tuburan Farmers Agriculture Cooperative (TUFACO), (4) Tabok Socorro Farmers Assoc. (TSFAI), (5) Pamosaingan Farmers and Fishermen Assoc. (PAFAFIA), (6) Tigasao Community Fishermen Cooperative (TICOFICO), (7) Rizal Marine Protector Fisherfolks Assoc. (RMPFA), (8) N</w:t>
            </w:r>
            <w:r>
              <w:t>agkahiliusang Gagmayng Mananagat Sa Maribobojoc (NAGAMAMA), (9) Lakyajon Fisherfolks Assoc. (LAKFA), (10) Barangay Dose Fisherfolks and Farmers Assoc. (BADOFFA), (11) Mabuhay Farmers and Livestock Assoc (MAFALA)</w:t>
            </w:r>
          </w:p>
          <w:p w:rsidR="00D802A4" w:rsidRDefault="005650D6" w14:paraId="738AE3AE" w14:textId="77777777">
            <w:r>
              <w:t>-</w:t>
            </w:r>
            <w:r>
              <w:tab/>
            </w:r>
            <w:r>
              <w:t>Lokal Lab Siargao Inc. (LKLLB) assisted nine (9) people’s organizations - 3,943 direct beneficiaries: (1) Osmeña Planters Assoc. (ODPA), (2) Nueva Estrella Farmers Producers Cooperative (NEFAPCO), (3) TSFAI, (4) Sohoton Inayaran Farmers Assoc., Inc. (SIFAI), (5) De oro Farmers Assoc., Inc. (DOFAI), (6) Samahan ng mga nagkakapit-Bisig ng Socorro (KABISIG), (7) Datu Farmers Agricultural Assoc., Inc. (DAFAI), (8) Kaugmaon nan Sapaonon Assoc., Inc. (KNSAI), (9) Josafat Farmers and Fisheries Assoc., Inc. (JOFFA</w:t>
            </w:r>
            <w:r>
              <w:t>I)</w:t>
            </w:r>
          </w:p>
          <w:p w:rsidR="00D802A4" w:rsidRDefault="00D802A4" w14:paraId="324D7163" w14:textId="77777777"/>
          <w:p w:rsidR="00D802A4" w:rsidRDefault="005650D6" w14:paraId="6003C173" w14:textId="77777777">
            <w:r>
              <w:t>These additional direct beneficiaries from this reporting period received targeted support from the project through grants availed by their organizations, specifically interventions related to individual and institutional capacity building towards empowered communities and improved or enhanced management of their environment and natural resources. These capacity building activities facilitated by the 17 grantees during this reporting period included the following: membership, leadership and financial manage</w:t>
            </w:r>
            <w:r>
              <w:t>ment; socio-cultural, economic and natural resources profiling; watershed management; organizational development and strategic planning; training needs assessments (TNA); proposal writing and project development coaching; participatory biodiversity assessments; agroforestry, nursery and plant propagation training; environmental law enforcement orientation; digital literacy and documentation system; inception and orientation workshops; peer learning sessions; communication materials production and disseminat</w:t>
            </w:r>
            <w:r>
              <w:t>ion; and multi-stakeholder consultations and technical assistance.</w:t>
            </w:r>
          </w:p>
          <w:p w:rsidR="00D802A4" w:rsidRDefault="00D802A4" w14:paraId="0B21347E" w14:textId="77777777"/>
        </w:tc>
      </w:tr>
      <w:tr w:rsidR="00D802A4" w14:paraId="0E904D6D" w14:textId="77777777">
        <w:tc>
          <w:tcPr>
            <w:tcW w:w="4000" w:type="dxa"/>
            <w:noWrap/>
          </w:tcPr>
          <w:p w:rsidR="00D802A4" w:rsidRDefault="005650D6" w14:paraId="34064832" w14:textId="77777777">
            <w:r>
              <w:t>Mandatory Indicator 2: # indirect project beneficiaries disaggregated by gender (individual people)</w:t>
            </w:r>
          </w:p>
        </w:tc>
        <w:tc>
          <w:tcPr>
            <w:tcW w:w="2000" w:type="dxa"/>
            <w:noWrap/>
          </w:tcPr>
          <w:p w:rsidR="00D802A4" w:rsidRDefault="005650D6" w14:paraId="700C7DC1" w14:textId="77777777">
            <w:r>
              <w:rPr>
                <w:i/>
                <w:iCs/>
              </w:rPr>
              <w:t>(not set or not applicable)</w:t>
            </w:r>
          </w:p>
        </w:tc>
        <w:tc>
          <w:tcPr>
            <w:tcW w:w="2000" w:type="dxa"/>
            <w:noWrap/>
          </w:tcPr>
          <w:p w:rsidR="00D802A4" w:rsidRDefault="005650D6" w14:paraId="2A413BEB" w14:textId="77777777">
            <w:r>
              <w:t>100,000</w:t>
            </w:r>
          </w:p>
        </w:tc>
        <w:tc>
          <w:tcPr>
            <w:tcW w:w="2000" w:type="dxa"/>
            <w:noWrap/>
          </w:tcPr>
          <w:p w:rsidR="00D802A4" w:rsidRDefault="005650D6" w14:paraId="23A461F1" w14:textId="77777777">
            <w:r>
              <w:t>300,000</w:t>
            </w:r>
          </w:p>
          <w:p w:rsidR="00D802A4" w:rsidRDefault="005650D6" w14:paraId="744E1D89" w14:textId="77777777">
            <w:r>
              <w:t>150,000 women; 150,000 men</w:t>
            </w:r>
          </w:p>
          <w:p w:rsidR="00D802A4" w:rsidRDefault="00D802A4" w14:paraId="73CFF971" w14:textId="77777777"/>
        </w:tc>
        <w:tc>
          <w:tcPr>
            <w:tcW w:w="4000" w:type="dxa"/>
            <w:noWrap/>
          </w:tcPr>
          <w:p w:rsidR="00D802A4" w:rsidRDefault="005650D6" w14:paraId="0CA15AD1" w14:textId="77777777">
            <w:r>
              <w:t>Target on track.</w:t>
            </w:r>
          </w:p>
          <w:p w:rsidR="00D802A4" w:rsidRDefault="00D802A4" w14:paraId="2525B3A8" w14:textId="77777777"/>
          <w:p w:rsidR="00D802A4" w:rsidRDefault="005650D6" w14:paraId="326A028F" w14:textId="77777777">
            <w:r>
              <w:t>Cumulative progress as of 30 June 2024: 353 indirect project beneficiaries (0.12% of the EOP target): 144 men (0.1% of the EOP target), 209 women (0.14% of the EOP target).</w:t>
            </w:r>
          </w:p>
          <w:p w:rsidR="00D802A4" w:rsidRDefault="00D802A4" w14:paraId="27F0E937" w14:textId="77777777"/>
          <w:p w:rsidR="00D802A4" w:rsidRDefault="005650D6" w14:paraId="602F9E79" w14:textId="77777777">
            <w:r>
              <w:t>During the reporting period, the project indirectly benefited 353 individuals (144 men, 209 women) through the following activities:</w:t>
            </w:r>
          </w:p>
          <w:p w:rsidR="00D802A4" w:rsidRDefault="00D802A4" w14:paraId="1DDF6A57" w14:textId="77777777"/>
          <w:p w:rsidR="00D802A4" w:rsidRDefault="005650D6" w14:paraId="1EFF520A" w14:textId="77777777">
            <w:r>
              <w:t>1. Participation to the 17th National Marine Science Conference Consultation Workshop in Batangas City on July 20-22, 2023, hosted by Batangas State University on the theme "Saving Our Seas: Restoring marine systems for people and nature”. The event was attended by 267 participants (109 men, 158 women) from academia, government, NGOs, and the private sector. The attendance of the PMU was largely aimed at reaching out to potential grant applicants working within the project landscapes/seascape.</w:t>
            </w:r>
          </w:p>
          <w:p w:rsidR="00D802A4" w:rsidRDefault="00D802A4" w14:paraId="43FB1995" w14:textId="77777777"/>
          <w:p w:rsidR="00D802A4" w:rsidRDefault="005650D6" w14:paraId="13113BB4" w14:textId="77777777">
            <w:r>
              <w:t>2. A breakout session was hosted by the project during the 3rd National Protected Area Conference (3NPAC) organized on June 25-28, 2024, in Quezon City (86 participants: 35 men, 51 women).</w:t>
            </w:r>
          </w:p>
          <w:p w:rsidR="00D802A4" w:rsidRDefault="00D802A4" w14:paraId="172C2250" w14:textId="77777777"/>
          <w:p w:rsidR="00D802A4" w:rsidRDefault="005650D6" w14:paraId="132D1A34" w14:textId="77777777">
            <w:r>
              <w:t>While no grant proposals were approved during the reporting period, the 11 proposals expected to be approved by the NSC in the next reporting period (see indicator 1) are foreseen to indirectly benefit an additional 309,517 individuals (151,725 men and 157,792 women) (102% of the EOP). A breakdown by landscape/seascape and grant approved (see indicator 1) is provided hereunder:</w:t>
            </w:r>
          </w:p>
          <w:p w:rsidR="00D802A4" w:rsidRDefault="00D802A4" w14:paraId="4452E6C7" w14:textId="77777777"/>
          <w:p w:rsidR="00D802A4" w:rsidRDefault="005650D6" w14:paraId="3B6C2860" w14:textId="77777777">
            <w:r>
              <w:t>1. Catubig Watershed:</w:t>
            </w:r>
          </w:p>
          <w:p w:rsidR="00D802A4" w:rsidRDefault="005650D6" w14:paraId="3F55BAAD" w14:textId="77777777">
            <w:r>
              <w:t>i) CAT-RG-002: 17,314 individuals (8,657 men; 8,657 women); ii) CAT-RG-006: 125,306 individuals (61,179 men; 64,127 women); iii) CAT-SG-001: 5,000 individuals (2,500 men; 2,500 women).</w:t>
            </w:r>
          </w:p>
          <w:p w:rsidR="00D802A4" w:rsidRDefault="00D802A4" w14:paraId="56E7437B" w14:textId="77777777"/>
          <w:p w:rsidR="00D802A4" w:rsidRDefault="005650D6" w14:paraId="0114AE36" w14:textId="77777777">
            <w:r>
              <w:t>2. CGI: i) CGI-RG-001: 3,879 individuals (1,930 men; 1,949 women).</w:t>
            </w:r>
          </w:p>
          <w:p w:rsidR="00D802A4" w:rsidRDefault="005650D6" w14:paraId="116C1002" w14:textId="77777777">
            <w:r>
              <w:t>ii) CGI-RG-002: 4,479 individuals (2,252 men; 2,227 women); iii) CGI-RG-011: 54,904 individuals (28,273 men; 26,631 women); iv) CGI-SG-001: 18,223 individuals (9,112 men; 9,111 women).</w:t>
            </w:r>
          </w:p>
          <w:p w:rsidR="00D802A4" w:rsidRDefault="00D802A4" w14:paraId="79AECDA7" w14:textId="77777777"/>
          <w:p w:rsidR="00D802A4" w:rsidRDefault="005650D6" w14:paraId="42147C76" w14:textId="77777777">
            <w:r>
              <w:t>3. SIPLAS: i) SIA-RG-002: 36,006 individuals (17,319 men; 18,687 women); ii) SIA-SG-001: 5,363 individuals (2,682 men; 2,681 women); iii) SIA-SG-003: 21,008 individuals (10,611 men; 10,397 women).</w:t>
            </w:r>
          </w:p>
          <w:p w:rsidR="00D802A4" w:rsidRDefault="00D802A4" w14:paraId="26F7959B" w14:textId="77777777"/>
          <w:p w:rsidR="00D802A4" w:rsidRDefault="005650D6" w14:paraId="033333E1" w14:textId="77777777">
            <w:r>
              <w:t>4. Aurora Province: i) AUP-SG-002: 18,035 individuals (7,210 men; 10,825 women).</w:t>
            </w:r>
          </w:p>
          <w:p w:rsidR="00D802A4" w:rsidRDefault="00D802A4" w14:paraId="5E59E6AC" w14:textId="77777777"/>
          <w:p w:rsidR="00D802A4" w:rsidRDefault="005650D6" w14:paraId="39F34D92" w14:textId="77777777">
            <w:r>
              <w:t>The remaining 39 proposals, if approved during the upcoming reporting period, are expected to further contribute to this indicator EOP target by an additional 309,770 indirect beneficiaries (171,237 men; 138,533 women).</w:t>
            </w:r>
          </w:p>
          <w:p w:rsidR="00D802A4" w:rsidRDefault="00D802A4" w14:paraId="45F3B8E6" w14:textId="77777777"/>
          <w:p w:rsidR="00D802A4" w:rsidRDefault="005650D6" w14:paraId="320927BF" w14:textId="77777777">
            <w:r>
              <w:t>All information above is supported by evidence Annex 2 - Mandatory Indicator 2 available at: https://dub.sh/PIMS6254-Annex2</w:t>
            </w:r>
          </w:p>
        </w:tc>
        <w:tc>
          <w:tcPr>
            <w:tcW w:w="4000" w:type="dxa"/>
            <w:noWrap/>
          </w:tcPr>
          <w:p w:rsidR="00D802A4" w:rsidRDefault="005650D6" w14:paraId="24469C36" w14:textId="77777777">
            <w:r>
              <w:t>Target on track.</w:t>
            </w:r>
          </w:p>
          <w:p w:rsidR="00D802A4" w:rsidRDefault="00D802A4" w14:paraId="43E38495" w14:textId="77777777"/>
          <w:p w:rsidR="00D802A4" w:rsidRDefault="005650D6" w14:paraId="0A620E1E" w14:textId="77777777">
            <w:r>
              <w:t>Cumulative progress as of 30 June 2025: 173,560 indirect project beneficiaries (57.85% of the EOP target) with 85,531 women (57.02% of the EOP target) and 88,029 men (58.69% of the EOP target)</w:t>
            </w:r>
          </w:p>
          <w:p w:rsidR="00D802A4" w:rsidRDefault="00D802A4" w14:paraId="6EC43B09" w14:textId="77777777"/>
          <w:p w:rsidR="00D802A4" w:rsidRDefault="005650D6" w14:paraId="7919B390" w14:textId="77777777">
            <w:r>
              <w:t>In addition to the beneficiaries from the last reporting cycle, during this reporting period a total of 173,207 (57.74% of the EOP target) people from 17 out of 45 approved grants have indirectly benefited from the project interventions across the four key landscapes and seascapes. This figure represents 87,885 men and 85,322 women, as follows:</w:t>
            </w:r>
          </w:p>
          <w:p w:rsidR="00D802A4" w:rsidRDefault="00D802A4" w14:paraId="6A0A9FB5" w14:textId="77777777"/>
          <w:p w:rsidR="00D802A4" w:rsidRDefault="005650D6" w14:paraId="349DE175" w14:textId="77777777">
            <w:r>
              <w:t>-</w:t>
            </w:r>
            <w:r>
              <w:tab/>
            </w:r>
            <w:r>
              <w:t>Aurora Province – 27,939;</w:t>
            </w:r>
          </w:p>
          <w:p w:rsidR="00D802A4" w:rsidRDefault="005650D6" w14:paraId="27DF2544" w14:textId="77777777">
            <w:r>
              <w:t>-</w:t>
            </w:r>
            <w:r>
              <w:tab/>
            </w:r>
            <w:r>
              <w:t>CGI – 65,636;</w:t>
            </w:r>
          </w:p>
          <w:p w:rsidR="00D802A4" w:rsidRDefault="005650D6" w14:paraId="36A55A6D" w14:textId="77777777">
            <w:r>
              <w:t>-</w:t>
            </w:r>
            <w:r>
              <w:tab/>
            </w:r>
            <w:r>
              <w:t>Catubig Watershed – 62,901;</w:t>
            </w:r>
          </w:p>
          <w:p w:rsidR="00D802A4" w:rsidRDefault="005650D6" w14:paraId="008ACE56" w14:textId="77777777">
            <w:r>
              <w:t>-</w:t>
            </w:r>
            <w:r>
              <w:tab/>
            </w:r>
            <w:r>
              <w:t>SIPLAS – 16,731.</w:t>
            </w:r>
          </w:p>
          <w:p w:rsidR="00D802A4" w:rsidRDefault="00D802A4" w14:paraId="681A5856" w14:textId="77777777"/>
          <w:p w:rsidR="00D802A4" w:rsidRDefault="005650D6" w14:paraId="55BBC3B1" w14:textId="77777777">
            <w:r>
              <w:t>This accomplishment was not only achieved by the 17 grantees whose partnership agreements were approved during the last quarter of 2024 and early first quarter of 2025, but it was also achieved by their partner community organizations, as listed below. While there were already 45 approved grants during this reporting period, most of the grantees were still in early stages of project implementation and some were only approved during the second quarter of 2025, and, therefore, they were not able to contribute</w:t>
            </w:r>
            <w:r>
              <w:t xml:space="preserve"> in this particular indicator. It is expected that the figure on the project's indirect benefits will likely increase during the next reporting period once all the other approved grants are able to contribute to this particular target.</w:t>
            </w:r>
          </w:p>
          <w:p w:rsidR="00D802A4" w:rsidRDefault="00D802A4" w14:paraId="1F4F4A8C" w14:textId="77777777"/>
          <w:p w:rsidR="00D802A4" w:rsidRDefault="005650D6" w14:paraId="3FEBB041" w14:textId="77777777">
            <w:r>
              <w:t>These people were able to benefit or experience the positive spillover effects of interventions implemented by the project within their communities and surrounding ecosystems. The improved management of natural resources, and local governance structures introduced by the grantees contributed to broader environmental, institutional, and socio-economic benefits that extended beyond the immediate project participants. These indirect impacts included enhanced ecosystem services, increased conservation awareness</w:t>
            </w:r>
            <w:r>
              <w:t xml:space="preserve"> through visible community activities, improved resource accessibility, and strengthened environmental governance at the local level.</w:t>
            </w:r>
          </w:p>
          <w:p w:rsidR="00D802A4" w:rsidRDefault="00D802A4" w14:paraId="4FD58DD2" w14:textId="77777777"/>
          <w:p w:rsidR="00D802A4" w:rsidRDefault="005650D6" w14:paraId="4EAE93D2" w14:textId="77777777">
            <w:r>
              <w:t>The interventions arising from these outcomes included: municipal-level project orientations; meetings of Community Working Groups (CWGs); propagation of indigenous and native trees; institutional capacity strengthening, biodiversity profiling; agroforestry promotion; documentation of indigenous knowledge systems; participatory resource mapping; production and dissemination of conservation communication materials; and promotion of sustainable and biodiversity-friendly livelihood models.</w:t>
            </w:r>
          </w:p>
          <w:p w:rsidR="00D802A4" w:rsidRDefault="00D802A4" w14:paraId="1A69B3A9" w14:textId="77777777"/>
          <w:p w:rsidR="00D802A4" w:rsidRDefault="005650D6" w14:paraId="641E2219" w14:textId="77777777">
            <w:r>
              <w:t>The breakdown of indirect beneficiaries by landscape provided by the project, through the different grantees and their partner community organizations, is as follows:</w:t>
            </w:r>
          </w:p>
          <w:p w:rsidR="00D802A4" w:rsidRDefault="00D802A4" w14:paraId="730F12C3" w14:textId="77777777"/>
          <w:p w:rsidR="00D802A4" w:rsidRDefault="005650D6" w14:paraId="244FC272" w14:textId="77777777">
            <w:r>
              <w:t>Aurora Province – 27,939 indirect beneficiaries</w:t>
            </w:r>
          </w:p>
          <w:p w:rsidR="00D802A4" w:rsidRDefault="005650D6" w14:paraId="22E34FC8" w14:textId="77777777">
            <w:r>
              <w:t>-</w:t>
            </w:r>
            <w:r>
              <w:tab/>
            </w:r>
            <w:r>
              <w:t>DALUHAY conducted project orientation and facilitated watershed management planning indirectly benefiting 21,123 community members in Culat in Casiguran and Lual, Maligaya, Dimaseset, Diniog in Dilasag municipality.</w:t>
            </w:r>
          </w:p>
          <w:p w:rsidR="00D802A4" w:rsidRDefault="005650D6" w14:paraId="05786043" w14:textId="77777777">
            <w:r>
              <w:t>-</w:t>
            </w:r>
            <w:r>
              <w:tab/>
            </w:r>
            <w:r>
              <w:t>DETFAWAI initiated the deputation of Bantay Gubat (meaning forest guards) and protection of Ancestral Domain indirectly benefiting 6,816 community members.</w:t>
            </w:r>
          </w:p>
          <w:p w:rsidR="00D802A4" w:rsidRDefault="00D802A4" w14:paraId="76118B15" w14:textId="77777777"/>
          <w:p w:rsidR="00D802A4" w:rsidRDefault="005650D6" w14:paraId="1A118CEF" w14:textId="77777777">
            <w:r>
              <w:t>CGI – 65,636 indirect beneficiaries</w:t>
            </w:r>
          </w:p>
          <w:p w:rsidR="00D802A4" w:rsidRDefault="005650D6" w14:paraId="2E585A4F" w14:textId="77777777">
            <w:r>
              <w:t>-</w:t>
            </w:r>
            <w:r>
              <w:tab/>
            </w:r>
            <w:r>
              <w:t>SSFA facilitated provision of indirect benefits to 1,426 people by implementing agroforestry and sustainable farming practices that would lead to increased crop diversity, improved soil health, and greater ecosystem resilience.</w:t>
            </w:r>
          </w:p>
          <w:p w:rsidR="00D802A4" w:rsidRDefault="005650D6" w14:paraId="0E8D45FE" w14:textId="77777777">
            <w:r>
              <w:t>-</w:t>
            </w:r>
            <w:r>
              <w:tab/>
            </w:r>
            <w:r>
              <w:t>SBRWSA facilitated the delivery of indirect benefits to 3,422 individuals by implementing an upgraded water infrastructure, facilitating the formal establishment of a Local Conservation Area (LCA) in Brgy. Salvacion, Busuanga.</w:t>
            </w:r>
          </w:p>
          <w:p w:rsidR="00D802A4" w:rsidRDefault="005650D6" w14:paraId="5CC2EB14" w14:textId="77777777">
            <w:r>
              <w:t>-</w:t>
            </w:r>
            <w:r>
              <w:tab/>
            </w:r>
            <w:r>
              <w:t>CFR facilitated the delivery of indirect benefits to community members in San Rafael, Busuanga by conducting orientation workshops, capacity-building on agroforestry and regenerative agriculture, site mapping, and individualized farm planning sessions. These activities engaged both beneficiaries and local partners to support resilient and sustainable food systems in the area.</w:t>
            </w:r>
          </w:p>
          <w:p w:rsidR="00D802A4" w:rsidRDefault="005650D6" w14:paraId="3CC134E2" w14:textId="77777777">
            <w:r>
              <w:t>-</w:t>
            </w:r>
            <w:r>
              <w:tab/>
            </w:r>
            <w:r>
              <w:t>CFI enabled the delivery of indirect benefits to 47,390 people by delivering hands-on marine protected area (MPA) manager training, organized a learning visit to Siete Pecados, and drafted municipal fisheries zoning and management plan across multiple barangays in Coron.</w:t>
            </w:r>
          </w:p>
          <w:p w:rsidR="00D802A4" w:rsidRDefault="005650D6" w14:paraId="5B169B0A" w14:textId="77777777">
            <w:r>
              <w:t>-</w:t>
            </w:r>
            <w:r>
              <w:tab/>
            </w:r>
            <w:r>
              <w:t>The Samdhana Institute facilitated the provision of indirect benefits to 6,365 people by providing livelihood-focused capacity building for 12 Indigenous Peoples (IP) organizations and developed ecotourism and enterprise plans in Tara, Buenavista, and Malawig (TBM) in Busuanga, as well as Baldat, Libis, and Luac (CALM) in Culion.</w:t>
            </w:r>
          </w:p>
          <w:p w:rsidR="00D802A4" w:rsidRDefault="005650D6" w14:paraId="0D46BFC7" w14:textId="77777777">
            <w:r>
              <w:t>-</w:t>
            </w:r>
            <w:r>
              <w:tab/>
            </w:r>
            <w:r>
              <w:t>BDFA facilitated the delivery of indirect benefits in Decalachao by coordinating with local stakeholders, conducting agroforestry and vegetable farming training, validating model farm sites, and supporting the establishment of model farms.</w:t>
            </w:r>
          </w:p>
          <w:p w:rsidR="00D802A4" w:rsidRDefault="005650D6" w14:paraId="6E37F368" w14:textId="77777777">
            <w:r>
              <w:t>-</w:t>
            </w:r>
            <w:r>
              <w:tab/>
            </w:r>
            <w:r>
              <w:t>CFI and the Samdhana Institute reached an additional 2,449 people across shared barangays in Busuanga and Culion through separate but complementary interventions—CFI on marine protected areas and fisheries management, and Samdhana on Indigenous Peoples' enterprise and ecotourism development.</w:t>
            </w:r>
          </w:p>
          <w:p w:rsidR="00D802A4" w:rsidRDefault="00D802A4" w14:paraId="7381CCDF" w14:textId="77777777"/>
          <w:p w:rsidR="00D802A4" w:rsidRDefault="005650D6" w14:paraId="559D7D06" w14:textId="77777777">
            <w:r>
              <w:t>Catubig Watershed – 62,901 indirect beneficiaries</w:t>
            </w:r>
          </w:p>
          <w:p w:rsidR="00D802A4" w:rsidRDefault="005650D6" w14:paraId="15D22C52" w14:textId="77777777">
            <w:r>
              <w:t>-</w:t>
            </w:r>
            <w:r>
              <w:tab/>
            </w:r>
            <w:r>
              <w:t>SACRED, through the project, provided indirect benefits to 1,265 people by conducting inception workshops and capacity-needs assessments for 25 farmer-partners, along with monthly monitoring and evaluation under the Biodiversity Family Farm model in Magtuad, Nabulo, Nahulid, and Sulitan.</w:t>
            </w:r>
          </w:p>
          <w:p w:rsidR="00D802A4" w:rsidRDefault="005650D6" w14:paraId="3AFAF0CC" w14:textId="77777777">
            <w:r>
              <w:t>-</w:t>
            </w:r>
            <w:r>
              <w:tab/>
            </w:r>
            <w:r>
              <w:t>SCPI facilitated the delivery of indirect benefits to 9,925 people through the formation and training of 20 VCTs, delivered leadership and financial-management, conducted organizational development workshops, and launched a VCT chat platform across Magtuad, Irawahan, Inoburan, Lenoyahan, Tangbo, Claro M. Recto (Lobedico), Hitapi-An, Osmeña, and San Jose (Hebobollao).</w:t>
            </w:r>
          </w:p>
          <w:p w:rsidR="00D802A4" w:rsidRDefault="005650D6" w14:paraId="47F4A5FD" w14:textId="77777777">
            <w:r>
              <w:t>-</w:t>
            </w:r>
            <w:r>
              <w:tab/>
            </w:r>
            <w:r>
              <w:t>CAPWA facilitated the implementation of indirect benefits to 763 people by orienting Barangay Local Government Units (BLGUs) on reforestation project site boundary mapping, overseeing wildling collection and nursery setup, establishing Biodiversity Family Farm Enterprises, and installing trail markers in Magongon and Mesangsa.</w:t>
            </w:r>
          </w:p>
          <w:p w:rsidR="00D802A4" w:rsidRDefault="005650D6" w14:paraId="0F90B99F" w14:textId="77777777">
            <w:r>
              <w:t>-</w:t>
            </w:r>
            <w:r>
              <w:tab/>
            </w:r>
            <w:r>
              <w:t>CCFI facilitated the provision of indirect benefits to 1,816 people by organizing the San Jorge, Dolores, Quezon (SanDoQue) Watershed Association, developing the terms of reference for Hagbay sub-watershed characterization, and engaging local governments in planning for water systems and multi-purpose facilities in Dolores, Quezon, and San Jorge.</w:t>
            </w:r>
          </w:p>
          <w:p w:rsidR="00D802A4" w:rsidRDefault="005650D6" w14:paraId="3E2DD304" w14:textId="77777777">
            <w:r>
              <w:t>-</w:t>
            </w:r>
            <w:r>
              <w:tab/>
            </w:r>
            <w:r>
              <w:t>SACRED and SCPI conducted separate activities that delivered indirect benefits to 847 people in shared communities where Biodiversity Family Farms and VCTs were delivered, respectively, by both organizations.</w:t>
            </w:r>
          </w:p>
          <w:p w:rsidR="00D802A4" w:rsidRDefault="005650D6" w14:paraId="7F051A83" w14:textId="77777777">
            <w:r>
              <w:t>-</w:t>
            </w:r>
            <w:r>
              <w:tab/>
            </w:r>
            <w:r>
              <w:t>In another set of shared barangays, CenSAAI, CAPWA, and SCPI reached 446 people through separate activities including socio-economic surveys, reforestation mapping, and capacity strengthening on conservation.</w:t>
            </w:r>
          </w:p>
          <w:p w:rsidR="00D802A4" w:rsidRDefault="005650D6" w14:paraId="01D72089" w14:textId="77777777">
            <w:r>
              <w:t>-</w:t>
            </w:r>
            <w:r>
              <w:tab/>
            </w:r>
            <w:r>
              <w:t>CenSAAI and SCPI also provided separate but complementary interventions to 4,765 people in overlapping communities across Catubig, Irawahan, and Magongon.</w:t>
            </w:r>
          </w:p>
          <w:p w:rsidR="00D802A4" w:rsidRDefault="005650D6" w14:paraId="3507CE82" w14:textId="77777777">
            <w:r>
              <w:t>-</w:t>
            </w:r>
            <w:r>
              <w:tab/>
            </w:r>
            <w:r>
              <w:t>CenSAAI and CAPWA reached 6,029 people through shared efforts in Barangay 1 areas of Magongon and Mesangsa, supporting watershed planning and agroforestry promotion.</w:t>
            </w:r>
          </w:p>
          <w:p w:rsidR="00D802A4" w:rsidRDefault="005650D6" w14:paraId="078A278D" w14:textId="77777777">
            <w:r>
              <w:t>-</w:t>
            </w:r>
            <w:r>
              <w:tab/>
            </w:r>
            <w:r>
              <w:t>Neighboring communities across Catubig (9,342 hectares), Laoang (9,126 hectares), Las Navas (13,922 hectares), Palapag (3,826 hectares), and Silvino Lobos (858 hectares) also benefited indirectly from these landscape-wide interventions, for a total of 37,045 people.</w:t>
            </w:r>
          </w:p>
          <w:p w:rsidR="00D802A4" w:rsidRDefault="00D802A4" w14:paraId="5A1BF9ED" w14:textId="77777777"/>
          <w:p w:rsidR="00D802A4" w:rsidRDefault="005650D6" w14:paraId="7E4FF1A7" w14:textId="77777777">
            <w:r>
              <w:t>SIPLAS – 16,731 indirect beneficiaries</w:t>
            </w:r>
          </w:p>
          <w:p w:rsidR="00D802A4" w:rsidRDefault="005650D6" w14:paraId="5BF69DD6" w14:textId="77777777">
            <w:r>
              <w:t>-</w:t>
            </w:r>
            <w:r>
              <w:tab/>
            </w:r>
            <w:r>
              <w:t>LKLLB provided indirect benefits to 16,731 people by organizing community workshops on regenerative agriculture, facilitating climate-friendly agro-enterprise development, and training farmers and youth in sustainable practices and value-chain analysis.</w:t>
            </w:r>
          </w:p>
          <w:p w:rsidR="00D802A4" w:rsidRDefault="00D802A4" w14:paraId="1F11F27C" w14:textId="77777777"/>
        </w:tc>
      </w:tr>
      <w:tr w:rsidR="00D802A4" w14:paraId="1A396090" w14:textId="77777777">
        <w:tc>
          <w:tcPr>
            <w:tcW w:w="4000" w:type="dxa"/>
            <w:noWrap/>
          </w:tcPr>
          <w:p w:rsidR="00D802A4" w:rsidRDefault="005650D6" w14:paraId="50F701EC" w14:textId="77777777">
            <w:r>
              <w:t>Mandatory GEF Core Indicators 2 - 5:</w:t>
            </w:r>
          </w:p>
          <w:p w:rsidR="00D802A4" w:rsidRDefault="005650D6" w14:paraId="2F11A4D6" w14:textId="77777777">
            <w:r>
              <w:t>Core Indicator 3. Area of land restored (hectares)</w:t>
            </w:r>
          </w:p>
        </w:tc>
        <w:tc>
          <w:tcPr>
            <w:tcW w:w="2000" w:type="dxa"/>
            <w:noWrap/>
          </w:tcPr>
          <w:p w:rsidR="00D802A4" w:rsidRDefault="005650D6" w14:paraId="52ED6102" w14:textId="77777777">
            <w:r>
              <w:t>65,000</w:t>
            </w:r>
          </w:p>
        </w:tc>
        <w:tc>
          <w:tcPr>
            <w:tcW w:w="2000" w:type="dxa"/>
            <w:noWrap/>
          </w:tcPr>
          <w:p w:rsidR="00D802A4" w:rsidRDefault="005650D6" w14:paraId="77AF7D90" w14:textId="77777777">
            <w:r>
              <w:t>2,000</w:t>
            </w:r>
          </w:p>
        </w:tc>
        <w:tc>
          <w:tcPr>
            <w:tcW w:w="2000" w:type="dxa"/>
            <w:noWrap/>
          </w:tcPr>
          <w:p w:rsidR="00D802A4" w:rsidRDefault="005650D6" w14:paraId="2270F679" w14:textId="77777777">
            <w:r>
              <w:t>5,000</w:t>
            </w:r>
          </w:p>
        </w:tc>
        <w:tc>
          <w:tcPr>
            <w:tcW w:w="4000" w:type="dxa"/>
            <w:noWrap/>
          </w:tcPr>
          <w:p w:rsidR="00D802A4" w:rsidRDefault="005650D6" w14:paraId="62AC4EDB" w14:textId="77777777">
            <w:r>
              <w:t>Target on track.</w:t>
            </w:r>
          </w:p>
          <w:p w:rsidR="00D802A4" w:rsidRDefault="00D802A4" w14:paraId="075A0BAB" w14:textId="77777777"/>
          <w:p w:rsidR="00D802A4" w:rsidRDefault="005650D6" w14:paraId="247E4603" w14:textId="77777777">
            <w:r>
              <w:t>Cumulative progress as of June 30, 2024: 0 hectares of land restored (0% of the EOP target).</w:t>
            </w:r>
          </w:p>
          <w:p w:rsidR="00D802A4" w:rsidRDefault="00D802A4" w14:paraId="1B509EFC" w14:textId="77777777"/>
          <w:p w:rsidR="00D802A4" w:rsidRDefault="005650D6" w14:paraId="7EEFDE5E" w14:textId="77777777">
            <w:r>
              <w:t>While no grant proposals were approved during the reporting period, 4 out of the 11 grant proposals expected to be approved by the NSC in the next reporting period (see indicator 1) are foreseen to restore 3,093.80 hectares of land (62% of the EOP target). A breakdown by landscape/seascape and grant approved (see indicator 1) is provided hereunder:</w:t>
            </w:r>
          </w:p>
          <w:p w:rsidR="00D802A4" w:rsidRDefault="00D802A4" w14:paraId="5332BE86" w14:textId="77777777"/>
          <w:p w:rsidR="00D802A4" w:rsidRDefault="005650D6" w14:paraId="5CC3F69E" w14:textId="77777777">
            <w:r>
              <w:t>1. Catubig Watershed: i)AT-RG-006 (3 hectares through the establishment of reforestation/enrichment planting site).</w:t>
            </w:r>
          </w:p>
          <w:p w:rsidR="00D802A4" w:rsidRDefault="00D802A4" w14:paraId="64D8E05D" w14:textId="77777777"/>
          <w:p w:rsidR="00D802A4" w:rsidRDefault="005650D6" w14:paraId="6F244F3C" w14:textId="77777777">
            <w:r>
              <w:t>2. CGI: i) CGI-RG-01: 355 hectares areas through the declaration of Local Conservation Areas (LCAs) and forming protection teams for a participatory approach towards watershed management, thereby restoring habitat by protecting areas from further degradation and ensuring natural regeneration processes; ii) CGI-RG-002: 2,336.9 hectares via the establishment of model farms that integrates edible forest products and agricultural crops to ensure food security and combines this approach with community-based fore</w:t>
            </w:r>
            <w:r>
              <w:t>st protection initiatives.</w:t>
            </w:r>
          </w:p>
          <w:p w:rsidR="00D802A4" w:rsidRDefault="00D802A4" w14:paraId="5F00AFE0" w14:textId="77777777"/>
          <w:p w:rsidR="00D802A4" w:rsidRDefault="005650D6" w14:paraId="3868009D" w14:textId="77777777">
            <w:r>
              <w:t>3. Aurora Province: i) AUP-SG-002 (398.9 hectares through the demonstration of biodiversity-friendly and successional agroforestry in attempt to overcome the barrier of culturally ingrained unsustainable practices such as slash-and-burn and charcoal making).</w:t>
            </w:r>
          </w:p>
          <w:p w:rsidR="00D802A4" w:rsidRDefault="00D802A4" w14:paraId="08EC5184" w14:textId="77777777"/>
          <w:p w:rsidR="00D802A4" w:rsidRDefault="005650D6" w14:paraId="6CFFFD8E" w14:textId="77777777">
            <w:r>
              <w:t>During the upcoming reporting period, the remaining 39 grant proposals under review by the PTRC and NSC will be evaluated and prioritized based on their potential contribution to this indicator EOP target.</w:t>
            </w:r>
          </w:p>
          <w:p w:rsidR="00D802A4" w:rsidRDefault="00D802A4" w14:paraId="33AF312A" w14:textId="77777777"/>
          <w:p w:rsidR="00D802A4" w:rsidRDefault="005650D6" w14:paraId="62FDE668" w14:textId="77777777">
            <w:r>
              <w:t>All information above is supported by evidence Annex 3 - Core Indicator 3 available at: https://dub.sh/PIMS6254-Annex3</w:t>
            </w:r>
          </w:p>
        </w:tc>
        <w:tc>
          <w:tcPr>
            <w:tcW w:w="4000" w:type="dxa"/>
            <w:noWrap/>
          </w:tcPr>
          <w:p w:rsidR="00D802A4" w:rsidRDefault="005650D6" w14:paraId="417D0EEE" w14:textId="77777777">
            <w:r>
              <w:t>Target on track.</w:t>
            </w:r>
          </w:p>
          <w:p w:rsidR="00D802A4" w:rsidRDefault="00D802A4" w14:paraId="75B2908E" w14:textId="77777777"/>
          <w:p w:rsidR="00D802A4" w:rsidRDefault="005650D6" w14:paraId="5E609E75" w14:textId="77777777">
            <w:r>
              <w:t>Cumulative progress as of June 30, 2025: 2,014.92 hectares of land restored (40.30% of the EOP Target).</w:t>
            </w:r>
          </w:p>
          <w:p w:rsidR="00D802A4" w:rsidRDefault="00D802A4" w14:paraId="3BABC68C" w14:textId="77777777"/>
          <w:p w:rsidR="00D802A4" w:rsidRDefault="005650D6" w14:paraId="47ECACBF" w14:textId="77777777">
            <w:r>
              <w:t>The total number is broken down across the three landscapes as follows:</w:t>
            </w:r>
          </w:p>
          <w:p w:rsidR="00D802A4" w:rsidRDefault="005650D6" w14:paraId="5DABE497" w14:textId="77777777">
            <w:r>
              <w:t>-</w:t>
            </w:r>
            <w:r>
              <w:tab/>
            </w:r>
            <w:r>
              <w:t>Aurora Province – 2,000 hectares;</w:t>
            </w:r>
          </w:p>
          <w:p w:rsidR="00D802A4" w:rsidRDefault="005650D6" w14:paraId="266D6074" w14:textId="77777777">
            <w:r>
              <w:t>-</w:t>
            </w:r>
            <w:r>
              <w:tab/>
            </w:r>
            <w:r>
              <w:t>CGI – 13.92 hectares;</w:t>
            </w:r>
          </w:p>
          <w:p w:rsidR="00D802A4" w:rsidRDefault="005650D6" w14:paraId="4D1A15AF" w14:textId="77777777">
            <w:r>
              <w:t>-</w:t>
            </w:r>
            <w:r>
              <w:tab/>
            </w:r>
            <w:r>
              <w:t>Catubig Watershed – 1.00 hectare.</w:t>
            </w:r>
          </w:p>
          <w:p w:rsidR="00D802A4" w:rsidRDefault="00D802A4" w14:paraId="7CBEC8B7" w14:textId="77777777"/>
          <w:p w:rsidR="00D802A4" w:rsidRDefault="005650D6" w14:paraId="3E271522" w14:textId="77777777">
            <w:r>
              <w:t>These restoration activities were carried out through reforestation, mangrove rehabilitation, watershed protection, and habitat enhancement. They focused on enabling natural regeneration, which strengthened ecosystem resilience, that were implemented by six grantees whose partnership agreements were approved in the last quarter of 2024, as listed below. The accomplishment of the EOP target for this indicator will likely be achieved once other approved grantees, with land restoration targets, shall implement</w:t>
            </w:r>
            <w:r>
              <w:t xml:space="preserve"> such activities.</w:t>
            </w:r>
          </w:p>
          <w:p w:rsidR="00D802A4" w:rsidRDefault="00D802A4" w14:paraId="7C628E8B" w14:textId="77777777"/>
          <w:p w:rsidR="00D802A4" w:rsidRDefault="005650D6" w14:paraId="6C03587D" w14:textId="77777777">
            <w:r>
              <w:t>Aurora Province – 2,000 hectares restored</w:t>
            </w:r>
          </w:p>
          <w:p w:rsidR="00D802A4" w:rsidRDefault="005650D6" w14:paraId="5766A620" w14:textId="77777777">
            <w:r>
              <w:t>-</w:t>
            </w:r>
            <w:r>
              <w:tab/>
            </w:r>
            <w:r>
              <w:t xml:space="preserve">DETFAWAI established mechanisms to improve the natural regenerative capacity leading to restoration of 2000 hectares of degraded ecosystem within its ancestral domain. These mechanisms include organizing a network of Bantay Gubat (Forest Guard) and institutionalizing their functions as Deputized Environment and Natural Resources Officers (DENROs) as provided for by the Department of Environment and Natural Resources (DENR). These Bantay Gubat members conducted lowland forest habitat protection activities, </w:t>
            </w:r>
            <w:r>
              <w:t>such as regular monitoring and patrolling.</w:t>
            </w:r>
          </w:p>
          <w:p w:rsidR="00D802A4" w:rsidRDefault="00D802A4" w14:paraId="17FFF710" w14:textId="77777777"/>
          <w:p w:rsidR="00D802A4" w:rsidRDefault="005650D6" w14:paraId="51B5E7B2" w14:textId="77777777">
            <w:r>
              <w:t>CGI – 13.92 hectares restored</w:t>
            </w:r>
          </w:p>
          <w:p w:rsidR="00D802A4" w:rsidRDefault="005650D6" w14:paraId="4A866B0F" w14:textId="77777777">
            <w:r>
              <w:t>-</w:t>
            </w:r>
            <w:r>
              <w:tab/>
            </w:r>
            <w:r>
              <w:t>BDFA implemented restoration by coordinating with local stakeholders, establishing model farms, and training farmers in agroforestry and organic practices covering an area of five hectares.</w:t>
            </w:r>
          </w:p>
          <w:p w:rsidR="00D802A4" w:rsidRDefault="005650D6" w14:paraId="21C5FEA9" w14:textId="77777777">
            <w:r>
              <w:t>-</w:t>
            </w:r>
            <w:r>
              <w:tab/>
            </w:r>
            <w:r>
              <w:t>CFR implemented 8.92 hectares of agroforestry and conducted syntropic-farming training, plant-propagation workshop, and farm-planning sessions.</w:t>
            </w:r>
          </w:p>
          <w:p w:rsidR="00D802A4" w:rsidRDefault="00D802A4" w14:paraId="43C75590" w14:textId="77777777"/>
          <w:p w:rsidR="00D802A4" w:rsidRDefault="005650D6" w14:paraId="512A49AE" w14:textId="77777777">
            <w:r>
              <w:t>Catubig Watershed – 1.00 hectare restored</w:t>
            </w:r>
          </w:p>
          <w:p w:rsidR="00D802A4" w:rsidRDefault="005650D6" w14:paraId="5E598647" w14:textId="77777777">
            <w:r>
              <w:t>-</w:t>
            </w:r>
            <w:r>
              <w:tab/>
            </w:r>
            <w:r>
              <w:t>SACRED &amp; CAPWA restored one hectare of land. These grantees established community nurseries, monitored biodiversity and performed maintenance and protection of the restoration sites, through regular monitoring and patrolling. These two grantees also installed markers and signages along the trails in the restored area for public awareness that the area is a forest habitat.</w:t>
            </w:r>
          </w:p>
          <w:p w:rsidR="00D802A4" w:rsidRDefault="00D802A4" w14:paraId="2B814B7A" w14:textId="77777777"/>
        </w:tc>
      </w:tr>
      <w:tr w:rsidR="00D802A4" w14:paraId="0AD61395" w14:textId="77777777">
        <w:tc>
          <w:tcPr>
            <w:tcW w:w="4000" w:type="dxa"/>
            <w:noWrap/>
          </w:tcPr>
          <w:p w:rsidR="00D802A4" w:rsidRDefault="005650D6" w14:paraId="263A349A" w14:textId="77777777">
            <w:r>
              <w:t>Core Indicator 4 Area of landscapes under improved practices (hectares; excluding protected areas).</w:t>
            </w:r>
          </w:p>
        </w:tc>
        <w:tc>
          <w:tcPr>
            <w:tcW w:w="2000" w:type="dxa"/>
            <w:noWrap/>
          </w:tcPr>
          <w:p w:rsidR="00D802A4" w:rsidRDefault="005650D6" w14:paraId="2200CBF1" w14:textId="77777777">
            <w:r>
              <w:t>70,000</w:t>
            </w:r>
          </w:p>
        </w:tc>
        <w:tc>
          <w:tcPr>
            <w:tcW w:w="2000" w:type="dxa"/>
            <w:noWrap/>
          </w:tcPr>
          <w:p w:rsidR="00D802A4" w:rsidRDefault="005650D6" w14:paraId="139CA7C8" w14:textId="77777777">
            <w:r>
              <w:t>25,000</w:t>
            </w:r>
          </w:p>
        </w:tc>
        <w:tc>
          <w:tcPr>
            <w:tcW w:w="2000" w:type="dxa"/>
            <w:noWrap/>
          </w:tcPr>
          <w:p w:rsidR="00D802A4" w:rsidRDefault="005650D6" w14:paraId="7BDD6537" w14:textId="77777777">
            <w:r>
              <w:t>65,000</w:t>
            </w:r>
          </w:p>
        </w:tc>
        <w:tc>
          <w:tcPr>
            <w:tcW w:w="4000" w:type="dxa"/>
            <w:noWrap/>
          </w:tcPr>
          <w:p w:rsidR="00D802A4" w:rsidRDefault="005650D6" w14:paraId="7780ECB5" w14:textId="77777777">
            <w:r>
              <w:t>Target on track.</w:t>
            </w:r>
          </w:p>
          <w:p w:rsidR="00D802A4" w:rsidRDefault="00D802A4" w14:paraId="2805D404" w14:textId="77777777"/>
          <w:p w:rsidR="00D802A4" w:rsidRDefault="005650D6" w14:paraId="02A36577" w14:textId="77777777">
            <w:r>
              <w:t>Cumulative progress as of June 30, 2024: 0 hectares of landscapes under improved practices (0% of the EOP target).</w:t>
            </w:r>
          </w:p>
          <w:p w:rsidR="00D802A4" w:rsidRDefault="00D802A4" w14:paraId="517828B2" w14:textId="77777777"/>
          <w:p w:rsidR="00D802A4" w:rsidRDefault="005650D6" w14:paraId="09BE23CA" w14:textId="77777777">
            <w:r>
              <w:t>While no grant proposals were approved during the reporting period, the 11 proposals expected to be approved by the NSC in the next reporting period (see indicator 1) are expected to bring 94,744.30 ha under improved practices (146% of the EOP target). A breakdown by landscape/seascape and grant approved (see indicator 1) is provided hereunder:</w:t>
            </w:r>
          </w:p>
          <w:p w:rsidR="00D802A4" w:rsidRDefault="00D802A4" w14:paraId="5E6FAECF" w14:textId="77777777"/>
          <w:p w:rsidR="00D802A4" w:rsidRDefault="005650D6" w14:paraId="7D921E67" w14:textId="77777777">
            <w:r>
              <w:t>1. Catubig Watershed: i) CAT-RG-002: 6,932.25 hectares; ii) CAT-RG-006: 2,116.90 hectares; iii) CAT-SG-001: 11,401.50 hectares.</w:t>
            </w:r>
          </w:p>
          <w:p w:rsidR="00D802A4" w:rsidRDefault="00D802A4" w14:paraId="69A54223" w14:textId="77777777"/>
          <w:p w:rsidR="00D802A4" w:rsidRDefault="005650D6" w14:paraId="03E72823" w14:textId="77777777">
            <w:r>
              <w:t>2. CGI:i) CGI-RG-001: 3,608.86 hectares; ii) CGI-RG-002: 1,282.71 hectares; iii) CGI-RG-011: 16,001.12 hectares; iv) CGI-SG-001: 12,268.21 hectares.</w:t>
            </w:r>
          </w:p>
          <w:p w:rsidR="00D802A4" w:rsidRDefault="00D802A4" w14:paraId="55FB7E03" w14:textId="77777777"/>
          <w:p w:rsidR="00D802A4" w:rsidRDefault="005650D6" w14:paraId="2C1E14E1" w14:textId="77777777">
            <w:r>
              <w:t>3. SIPLAS: i) SIA-RG-002: 179.45 hectares; ii) SIA-SG-001: 2,924.45 hectares; iii) SIA-SG-003: 14,161.57 hectares.</w:t>
            </w:r>
          </w:p>
          <w:p w:rsidR="00D802A4" w:rsidRDefault="00D802A4" w14:paraId="1913C2C6" w14:textId="77777777"/>
          <w:p w:rsidR="00D802A4" w:rsidRDefault="005650D6" w14:paraId="2623E0E6" w14:textId="77777777">
            <w:r>
              <w:t>4. Aurora Province: i) AUP-SG-002: 23,867.28 hectares.</w:t>
            </w:r>
          </w:p>
          <w:p w:rsidR="00D802A4" w:rsidRDefault="00D802A4" w14:paraId="4977AF85" w14:textId="77777777"/>
          <w:p w:rsidR="00D802A4" w:rsidRDefault="005650D6" w14:paraId="0F95649A" w14:textId="77777777">
            <w:r>
              <w:t>All information above is supported by evidence Annex 4 – Core Indicator 4 available at: https://dub.sh/PIMS6254-Annex4</w:t>
            </w:r>
          </w:p>
        </w:tc>
        <w:tc>
          <w:tcPr>
            <w:tcW w:w="4000" w:type="dxa"/>
            <w:noWrap/>
          </w:tcPr>
          <w:p w:rsidR="00D802A4" w:rsidRDefault="005650D6" w14:paraId="71410EE8" w14:textId="77777777">
            <w:r>
              <w:t>Target achieved.</w:t>
            </w:r>
          </w:p>
          <w:p w:rsidR="00D802A4" w:rsidRDefault="00D802A4" w14:paraId="67E5C580" w14:textId="77777777"/>
          <w:p w:rsidR="00D802A4" w:rsidRDefault="005650D6" w14:paraId="74D6BD01" w14:textId="77777777">
            <w:r>
              <w:t>Cumulative progress as of June 30, 2025:  84,100.30  hectares (129.38% of the EOP Target) of landscapes under improved practices.</w:t>
            </w:r>
          </w:p>
          <w:p w:rsidR="00D802A4" w:rsidRDefault="00D802A4" w14:paraId="6D1DB2B7" w14:textId="77777777"/>
          <w:p w:rsidR="00D802A4" w:rsidRDefault="005650D6" w14:paraId="275E1124" w14:textId="77777777">
            <w:r>
              <w:t>During this reporting period, the four priority landscapes were placed under improved practices by providing interventions that enhanced the management systems of these areas for purposes of biodiversity conservation. Such interventions included the following (maps of these sites are provided as evidence to these accomplishments):</w:t>
            </w:r>
          </w:p>
          <w:p w:rsidR="00D802A4" w:rsidRDefault="00D802A4" w14:paraId="5EC452E4" w14:textId="77777777"/>
          <w:p w:rsidR="00D802A4" w:rsidRDefault="005650D6" w14:paraId="2CACD33D" w14:textId="77777777">
            <w:r>
              <w:t>Aurora Province - 18,265.04 hectares under improved practices</w:t>
            </w:r>
          </w:p>
          <w:p w:rsidR="00D802A4" w:rsidRDefault="005650D6" w14:paraId="7D309FE7" w14:textId="77777777">
            <w:r>
              <w:t>-</w:t>
            </w:r>
            <w:r>
              <w:tab/>
            </w:r>
            <w:r>
              <w:t xml:space="preserve">DETFAWAI improved landscape management across its 2,000-hectare ancestral domain by leading a number of actions, including (a) intensive capacity-building on forest patrols, biodiversity monitoring, and incident reporting; (b) preparation of a Geographic Information System (GIS)-based community forestry map that pinpoints high-value conservation zones; (c) and creation of a duty-rotation system for Bantay Gubat volunteers to keep habitat protection continuous. It also coordinated closely with the DENR for </w:t>
            </w:r>
            <w:r>
              <w:t>the deputation of Bantay Gubat members to secure legal recognition for these community-led enforcement measures, cementing its customary stewardship of the land.</w:t>
            </w:r>
          </w:p>
          <w:p w:rsidR="00D802A4" w:rsidRDefault="005650D6" w14:paraId="4D734B77" w14:textId="77777777">
            <w:r>
              <w:t>-</w:t>
            </w:r>
            <w:r>
              <w:tab/>
            </w:r>
            <w:r>
              <w:t>CWGs formed and trained by DALUHAY to effectively manage identified watershed areas estimated at 16,265.04 hectares. This was achieved through participatory watershed characterization and vulnerability assessments, including water quality testing and biodiversity mapping. The CWGs performed regular monitoring using river visual assessment methodologies to detect environmental changes. These groups actively engaged local stakeholders through focus group discussions and key informant interviews, ensuring com</w:t>
            </w:r>
            <w:r>
              <w:t>munity-based decision-making and collaborative watershed management.</w:t>
            </w:r>
          </w:p>
          <w:p w:rsidR="00D802A4" w:rsidRDefault="00D802A4" w14:paraId="5B22F94F" w14:textId="77777777"/>
          <w:p w:rsidR="00D802A4" w:rsidRDefault="005650D6" w14:paraId="67C326CF" w14:textId="77777777">
            <w:r>
              <w:t>Catubig Watershed- 16,075.29 hectares under improved practices</w:t>
            </w:r>
          </w:p>
          <w:p w:rsidR="00D802A4" w:rsidRDefault="005650D6" w14:paraId="44B4CE9B" w14:textId="77777777">
            <w:r>
              <w:t>-</w:t>
            </w:r>
            <w:r>
              <w:tab/>
            </w:r>
            <w:r>
              <w:t>SCPI formed and trained 20 VCTs, comprising 30 members each, to lead biodiversity monitoring and protection and to serve as biodiversity conservation advocates in areas covering a total of 8,889.14 hectares in four municipalities of the Catubig Watershed. These VCTs operated across Magtuad, Irawahan, Inoburan, Lenoyahan, Tangbo, Claro M. Recto (Lobedico), Hitapi-An, Osmeña, and San Jose (Hebobollao), promoting conservation through structured barangay-based planning. Advocacy was carried out via participato</w:t>
            </w:r>
            <w:r>
              <w:t>ry forest protection planning sessions, biodiversity-focused discussions in community assemblies, and the use of dedicated VCT chat platforms to coordinate patrols and relay conservation updates. The VCTs also spearheaded educational campaigns to instill forest stewardship values among youth and local leaders.</w:t>
            </w:r>
          </w:p>
          <w:p w:rsidR="00D802A4" w:rsidRDefault="005650D6" w14:paraId="6766F05D" w14:textId="77777777">
            <w:r>
              <w:t>-</w:t>
            </w:r>
            <w:r>
              <w:tab/>
            </w:r>
            <w:r>
              <w:t>SACRED engaged 25 farmer-partners, through inception workshops and capacity-needs assessments, across five barangays. Monthly monitoring and evaluation sessions and implementation of the Biodiversity Family Farm model were implemented within the SACRED’s project site covering 484.47 hectares.</w:t>
            </w:r>
          </w:p>
          <w:p w:rsidR="00D802A4" w:rsidRDefault="005650D6" w14:paraId="73201ABD" w14:textId="77777777">
            <w:r>
              <w:t>-</w:t>
            </w:r>
            <w:r>
              <w:tab/>
            </w:r>
            <w:r>
              <w:t>CenSAAI conducted a baseline survey in riparian ecosystems covering 261.24 hectares of the Catubig Watershed in preparation for the development of conservation management plan of these areas. They analyzed the data, and produced biodiversity infographics to guide local planning and for conservation awareness purposes.</w:t>
            </w:r>
          </w:p>
          <w:p w:rsidR="00D802A4" w:rsidRDefault="005650D6" w14:paraId="31AEC7A3" w14:textId="77777777">
            <w:r>
              <w:t>-</w:t>
            </w:r>
            <w:r>
              <w:tab/>
            </w:r>
            <w:r>
              <w:t>CCFI created the SanDoQue Watershed Association, solidifying a collaborative governance platform. It also prepared Terms of Reference (TOR) for biophysical and socio-economic characterization of the Hagbay sub-watershed. CCFI convened barangay local government units (LGUs) in participatory workshops that produced consensus plans for phased water-system rehabilitation and community use of an existing multi-purpose facility. All of these interventions covered an area of 930.03 hectares.</w:t>
            </w:r>
          </w:p>
          <w:p w:rsidR="00D802A4" w:rsidRDefault="005650D6" w14:paraId="192D7F2D" w14:textId="77777777">
            <w:r>
              <w:t>-</w:t>
            </w:r>
            <w:r>
              <w:tab/>
            </w:r>
            <w:r>
              <w:t>CAPWA convened orientation meetings with barangay LGUs and the DENR-Community Environment and Natural Resources Office (CENRO) to align government and community actions behind a unified restoration agenda; it then mapped and demarcated priority reforestation zones, collected wildlings for community nurseries, and planted biodiversity-friendly fruit trees across the landscape. CAPWA also installed trail markers and interpretive signages and hosted engagement workshops that equipped stakeholders to safeguard</w:t>
            </w:r>
            <w:r>
              <w:t xml:space="preserve"> the restored area. These interventions cover 5,510.40 hectares.</w:t>
            </w:r>
          </w:p>
          <w:p w:rsidR="00D802A4" w:rsidRDefault="00D802A4" w14:paraId="0174955A" w14:textId="77777777"/>
          <w:p w:rsidR="00D802A4" w:rsidRDefault="005650D6" w14:paraId="7092536B" w14:textId="77777777">
            <w:r>
              <w:t>CGI- 35,598.40 hectares under improved practices</w:t>
            </w:r>
          </w:p>
          <w:p w:rsidR="00D802A4" w:rsidRDefault="005650D6" w14:paraId="389712C7" w14:textId="77777777">
            <w:r>
              <w:t>-</w:t>
            </w:r>
            <w:r>
              <w:tab/>
            </w:r>
            <w:r>
              <w:t>The Samdhana Institute facilitated capacity building across six barangays that enabled the 12 IP organizations under one federation to effectively manage portions of their two ancestral domains estimated at 12,268.40 hectares. They supported the drafting of the Ancestral Domain Sustainable Development and Protection Plan (ADSDPP) of these IP groups of these IP tribes. In parallel, training activities focused on agroecology, GIS mapping, and delineation of forest zones, all of which reinforced the IPs’ capa</w:t>
            </w:r>
            <w:r>
              <w:t>city to govern, conserve, and utilize their ancestral lands sustainably.</w:t>
            </w:r>
          </w:p>
          <w:p w:rsidR="00D802A4" w:rsidRDefault="005650D6" w14:paraId="16B838AF" w14:textId="77777777">
            <w:r>
              <w:t>-</w:t>
            </w:r>
            <w:r>
              <w:tab/>
            </w:r>
            <w:r>
              <w:t>SSFA started to develop agroforestry, within the 6,395 hectares project site, for purposes of food security and forest restoration.</w:t>
            </w:r>
          </w:p>
          <w:p w:rsidR="00D802A4" w:rsidRDefault="005650D6" w14:paraId="346343A1" w14:textId="77777777">
            <w:r>
              <w:t>-</w:t>
            </w:r>
            <w:r>
              <w:tab/>
            </w:r>
            <w:r>
              <w:t>SBRWSA facilitated the declaration of an LCA to reinforce environmental protection by implementing different project activities within 3,608.00 hectares.</w:t>
            </w:r>
          </w:p>
          <w:p w:rsidR="00D802A4" w:rsidRDefault="005650D6" w14:paraId="5F2637DA" w14:textId="77777777">
            <w:r>
              <w:t>-</w:t>
            </w:r>
            <w:r>
              <w:tab/>
            </w:r>
            <w:r>
              <w:t>CFR established model agroforestry farms under its ReBuild Project covering a portion of its project site with an area of 1,282.00 hectares.</w:t>
            </w:r>
          </w:p>
          <w:p w:rsidR="00D802A4" w:rsidRDefault="005650D6" w14:paraId="58398128" w14:textId="77777777">
            <w:r>
              <w:t>-</w:t>
            </w:r>
            <w:r>
              <w:tab/>
            </w:r>
            <w:r>
              <w:t>BDFA established model agroforestry farms to showcase sustainable farming practices within its project site covering an estimated area of 12,045.00 hectares.</w:t>
            </w:r>
          </w:p>
          <w:p w:rsidR="00D802A4" w:rsidRDefault="00D802A4" w14:paraId="311CC901" w14:textId="77777777"/>
          <w:p w:rsidR="00D802A4" w:rsidRDefault="005650D6" w14:paraId="3857ED4D" w14:textId="77777777">
            <w:r>
              <w:t>SIPLAS- 14,161.57 hectares under improved practices</w:t>
            </w:r>
          </w:p>
          <w:p w:rsidR="00D802A4" w:rsidRDefault="005650D6" w14:paraId="203776D2" w14:textId="77777777">
            <w:r>
              <w:t>-</w:t>
            </w:r>
            <w:r>
              <w:tab/>
            </w:r>
            <w:r>
              <w:t>LKLLB conducted participatory community assessments across areas covering nine Protected Area Community-Based Resource Management Agreement (PACBRMA) to establish baseline data and strengthen the POs’ network. The capacity building included the preparation of their Community Resource Management Framework (CRMF) and how to effectively manage the awarded PACBRMA covering a total of 14,161.57 hectares.</w:t>
            </w:r>
          </w:p>
        </w:tc>
      </w:tr>
      <w:tr w:rsidR="00D802A4" w14:paraId="68109C31" w14:textId="77777777">
        <w:tc>
          <w:tcPr>
            <w:tcW w:w="4000" w:type="dxa"/>
            <w:noWrap/>
          </w:tcPr>
          <w:p w:rsidR="00D802A4" w:rsidRDefault="005650D6" w14:paraId="51BA04EF" w14:textId="77777777">
            <w:r>
              <w:t>Core Indicator 5: Area of marine habitat under improved practices to benefit biodiversity (hectares)</w:t>
            </w:r>
          </w:p>
        </w:tc>
        <w:tc>
          <w:tcPr>
            <w:tcW w:w="2000" w:type="dxa"/>
            <w:noWrap/>
          </w:tcPr>
          <w:p w:rsidR="00D802A4" w:rsidRDefault="005650D6" w14:paraId="685C1B70" w14:textId="77777777">
            <w:r>
              <w:t>60,000</w:t>
            </w:r>
          </w:p>
        </w:tc>
        <w:tc>
          <w:tcPr>
            <w:tcW w:w="2000" w:type="dxa"/>
            <w:noWrap/>
          </w:tcPr>
          <w:p w:rsidR="00D802A4" w:rsidRDefault="005650D6" w14:paraId="309596FE" w14:textId="77777777">
            <w:r>
              <w:t>10,000</w:t>
            </w:r>
          </w:p>
        </w:tc>
        <w:tc>
          <w:tcPr>
            <w:tcW w:w="2000" w:type="dxa"/>
            <w:noWrap/>
          </w:tcPr>
          <w:p w:rsidR="00D802A4" w:rsidRDefault="005650D6" w14:paraId="75CE590D" w14:textId="77777777">
            <w:r>
              <w:t>30,000</w:t>
            </w:r>
          </w:p>
        </w:tc>
        <w:tc>
          <w:tcPr>
            <w:tcW w:w="4000" w:type="dxa"/>
            <w:noWrap/>
          </w:tcPr>
          <w:p w:rsidR="00D802A4" w:rsidRDefault="005650D6" w14:paraId="083B2C35" w14:textId="77777777">
            <w:r>
              <w:t>Target on track.</w:t>
            </w:r>
          </w:p>
          <w:p w:rsidR="00D802A4" w:rsidRDefault="00D802A4" w14:paraId="611B90B1" w14:textId="77777777"/>
          <w:p w:rsidR="00D802A4" w:rsidRDefault="005650D6" w14:paraId="798AD347" w14:textId="77777777">
            <w:r>
              <w:t>Cumulative progress as of June 30, 2024: 0 hectares of marine habitat under improved practices to benefit biodiversity (0% of the EOP target).</w:t>
            </w:r>
          </w:p>
          <w:p w:rsidR="00D802A4" w:rsidRDefault="00D802A4" w14:paraId="5DD84A18" w14:textId="77777777"/>
          <w:p w:rsidR="00D802A4" w:rsidRDefault="005650D6" w14:paraId="4D9F6BEF" w14:textId="77777777">
            <w:r>
              <w:t>While no grant proposals were approved during the reporting period, 2 out of the 11 grant proposals expected to be approved by the NSC in the next reporting period (see indicator 1) are foreseen to bring 16,275.82 hectares of marine habitat into improved practices (54% of the EOP target). A breakdown by landscape/seascape and grant approved (see indicator 1) is provided hereunder:</w:t>
            </w:r>
          </w:p>
          <w:p w:rsidR="00D802A4" w:rsidRDefault="00D802A4" w14:paraId="77FC9B45" w14:textId="77777777"/>
          <w:p w:rsidR="00D802A4" w:rsidRDefault="005650D6" w14:paraId="30DD920A" w14:textId="77777777">
            <w:r>
              <w:t>1. CGI: i) CGI-RG-011 (16,001.12 hectares) whose proposed activities would improve management interventions within the networks of Marine Protected Areas (MPAs) in the Coron Municipality.</w:t>
            </w:r>
          </w:p>
          <w:p w:rsidR="00D802A4" w:rsidRDefault="00D802A4" w14:paraId="3F3859BB" w14:textId="77777777"/>
          <w:p w:rsidR="00D802A4" w:rsidRDefault="005650D6" w14:paraId="6FD73B70" w14:textId="77777777">
            <w:r>
              <w:t>2. SIPLAS: ii) SIA-SG-001 (274.70 hectares) which would protect marine protected areas through improved management policies, systems and procedures and appropriate legislative support from the LGUs geared towards the rehabilitation and restoration of these MPAs.</w:t>
            </w:r>
          </w:p>
          <w:p w:rsidR="00D802A4" w:rsidRDefault="00D802A4" w14:paraId="2F103618" w14:textId="77777777"/>
          <w:p w:rsidR="00D802A4" w:rsidRDefault="005650D6" w14:paraId="1BF7FAAE" w14:textId="77777777">
            <w:r>
              <w:t>To bridge the gap towards the indicator EOP target, the project will issue a second call for proposals during the upcoming reporting period, focusing on marine and coastal interventions. Some potential grantees from Aurora Province and the Calamian Group of Islands expressed their interest in applying, although they were unable to meet the deadline set in the first call for proposals.</w:t>
            </w:r>
          </w:p>
          <w:p w:rsidR="00D802A4" w:rsidRDefault="00D802A4" w14:paraId="1358B563" w14:textId="77777777"/>
          <w:p w:rsidR="00D802A4" w:rsidRDefault="005650D6" w14:paraId="4D335814" w14:textId="77777777">
            <w:r>
              <w:t>All information above is supported by evidence  Annex 5 - Core Indicator 5 available at: https://dub.sh/PIMS6254-Annex5</w:t>
            </w:r>
          </w:p>
        </w:tc>
        <w:tc>
          <w:tcPr>
            <w:tcW w:w="4000" w:type="dxa"/>
            <w:noWrap/>
          </w:tcPr>
          <w:p w:rsidR="00D802A4" w:rsidRDefault="005650D6" w14:paraId="45C6CB2F" w14:textId="77777777">
            <w:r>
              <w:t>Target on track.</w:t>
            </w:r>
          </w:p>
          <w:p w:rsidR="00D802A4" w:rsidRDefault="00D802A4" w14:paraId="766DB4B2" w14:textId="77777777"/>
          <w:p w:rsidR="00D802A4" w:rsidRDefault="005650D6" w14:paraId="69B9FCB5" w14:textId="77777777">
            <w:r>
              <w:t>Cumulative progress as of June 30, 2025: 14,693.99 hectares (48.98% of the EOP target) of marine habitat under improved practices to benefit biodiversity.</w:t>
            </w:r>
          </w:p>
          <w:p w:rsidR="00D802A4" w:rsidRDefault="00D802A4" w14:paraId="1F20A91C" w14:textId="77777777"/>
          <w:p w:rsidR="00D802A4" w:rsidRDefault="005650D6" w14:paraId="43046C97" w14:textId="77777777">
            <w:r>
              <w:t>Two of 45 grantees contributed to this indicator:</w:t>
            </w:r>
          </w:p>
          <w:p w:rsidR="00D802A4" w:rsidRDefault="00D802A4" w14:paraId="1BC6B965" w14:textId="77777777"/>
          <w:p w:rsidR="00D802A4" w:rsidRDefault="005650D6" w14:paraId="31C317AE" w14:textId="77777777">
            <w:r>
              <w:t>CFI’s efforts resulted in improved practices benefiting biodiversity across a total of 13,016.18 hectares of marine habitat, including 9,174.54 hectares of coral reefs, 51.05 hectares of mangrove forest, and 3,790.59 hectares of seagrass and seaweed beds. The project operated in a wide range of barangays across both Coron and Culion. In Coron, their activities extended to Barangays I, II, III, IV, V, VI, Bintuan, Borac, Guadalupe, Marcilla, San Jose, San Nicolas, Tagumpay, Turda, Decabobo, Buenavista, Decal</w:t>
            </w:r>
            <w:r>
              <w:t>achao, and Malawig. In Culion, they focused on Barangay Libis. CFI’s interventions centered on enhancing MPA governance, conducting marine spatial mapping, and facilitating inclusive multi-stakeholder dialogues. They trained and organized community-based enforcement units—particularly Bantay Dagat (meaning sea patrol) teams—and ran marine-awareness campaigns through school-based environmental education. The organization also promoted sustainable tourism and small-enterprise. These initiatives not only stren</w:t>
            </w:r>
            <w:r>
              <w:t>gthened local stewardship but also built community appreciation for marine biodiversity as a vital asset for livelihoods.</w:t>
            </w:r>
          </w:p>
          <w:p w:rsidR="00D802A4" w:rsidRDefault="00D802A4" w14:paraId="24704CB3" w14:textId="77777777"/>
          <w:p w:rsidR="00D802A4" w:rsidRDefault="005650D6" w14:paraId="033B2461" w14:textId="77777777">
            <w:r>
              <w:t>The Samdhana Institute directed its efforts toward empowering Indigenous communities and supporting biodiversity-based enterprises. Thier interventions resulted in improved practices benefiting biodiversity across a total of 1,677.81 hectares of marine habitat, comprising 675.81 hectares of corals, 15.24 hectares of mangrove forest, and 986.76 hectares of seagrass and seaweed beds. Their work spanned several barangays, including Tara, Malawig, Buenavista, Decabobo, and Decalachao in Coron, and Baldat, Libis</w:t>
            </w:r>
            <w:r>
              <w:t>, and Luac in Culion. Samdhana’s work involved conducting Free, Prior and Informed Consent (FPIC) processes with two Tagbanwa tribes, in close coordination with National Commission on Indigenous Peoples (NCIP) and local councils of elders. These FPIC processes helped establish community consent for activities that integrate environmental protection with customary governance. The Institute also supported the formulation and submission of ADSDPPs, which align traditional land-use values with environmental ste</w:t>
            </w:r>
            <w:r>
              <w:t>wardship. The Institute further assisted Indigenous and women-led groups in developing sustainable livelihood plans rooted in biodiversity conservation. Through technical coaching and capacity building, Samdhana enabled these organizations to design enterprises tailored to local context and natural resource base.</w:t>
            </w:r>
          </w:p>
          <w:p w:rsidR="00D802A4" w:rsidRDefault="00D802A4" w14:paraId="0EEF5D4E" w14:textId="77777777"/>
          <w:p w:rsidR="00D802A4" w:rsidRDefault="005650D6" w14:paraId="0FDB386E" w14:textId="77777777">
            <w:r>
              <w:t>Although only two grantees implemented this particular indicator, it is expected that the EOP target will be achieved in the next reporting period since there are still other grantees, especially in SIPLAS, that will provide intervention to improve marine habitat for biodiversity benefits.</w:t>
            </w:r>
          </w:p>
        </w:tc>
      </w:tr>
      <w:tr w:rsidR="00D802A4" w14:paraId="3B3228F4" w14:textId="77777777">
        <w:tc>
          <w:tcPr>
            <w:tcW w:w="4000" w:type="dxa"/>
            <w:noWrap/>
          </w:tcPr>
          <w:p w:rsidR="00D802A4" w:rsidRDefault="005650D6" w14:paraId="6044E189" w14:textId="77777777">
            <w:r>
              <w:rPr>
                <w:b/>
                <w:bCs/>
              </w:rPr>
              <w:t>The progress of the objective/outcome can be described as:</w:t>
            </w:r>
          </w:p>
        </w:tc>
        <w:tc>
          <w:tcPr>
            <w:tcW w:w="12000" w:type="dxa"/>
            <w:gridSpan w:val="5"/>
            <w:noWrap/>
          </w:tcPr>
          <w:p w:rsidR="00D802A4" w:rsidRDefault="005650D6" w14:paraId="4D8D2786" w14:textId="77777777">
            <w:r>
              <w:rPr>
                <w:b/>
                <w:bCs/>
              </w:rPr>
              <w:t>On track</w:t>
            </w:r>
          </w:p>
        </w:tc>
      </w:tr>
      <w:tr w:rsidR="00D802A4" w14:paraId="0E1F2CF9" w14:textId="77777777">
        <w:tc>
          <w:tcPr>
            <w:tcW w:w="4000" w:type="dxa"/>
            <w:noWrap/>
          </w:tcPr>
          <w:p w:rsidR="00D802A4" w:rsidRDefault="005650D6" w14:paraId="0E59FA5A" w14:textId="77777777">
            <w:r>
              <w:rPr>
                <w:b/>
                <w:bCs/>
              </w:rPr>
              <w:t>Evidence uploaded:</w:t>
            </w:r>
          </w:p>
        </w:tc>
        <w:tc>
          <w:tcPr>
            <w:tcW w:w="12000" w:type="dxa"/>
            <w:gridSpan w:val="5"/>
            <w:noWrap/>
          </w:tcPr>
          <w:p w:rsidR="00D802A4" w:rsidRDefault="005650D6" w14:paraId="2CE5FCC7" w14:textId="77777777">
            <w:r>
              <w:t>YES</w:t>
            </w:r>
          </w:p>
        </w:tc>
      </w:tr>
      <w:tr w:rsidR="00D802A4" w14:paraId="2109767A" w14:textId="77777777">
        <w:tc>
          <w:tcPr>
            <w:tcW w:w="16000" w:type="dxa"/>
            <w:gridSpan w:val="6"/>
            <w:shd w:val="clear" w:color="auto" w:fill="D9D9D9"/>
            <w:noWrap/>
          </w:tcPr>
          <w:p w:rsidR="00D802A4" w:rsidRDefault="005650D6" w14:paraId="5D0CF54B" w14:textId="77777777">
            <w:r>
              <w:rPr>
                <w:b/>
                <w:bCs/>
              </w:rPr>
              <w:t>Outcome 1</w:t>
            </w:r>
          </w:p>
          <w:p w:rsidR="00D802A4" w:rsidRDefault="005650D6" w14:paraId="552B17DC" w14:textId="77777777">
            <w:r>
              <w:rPr>
                <w:b/>
                <w:bCs/>
              </w:rPr>
              <w:t>Project component 1 1. Resilient landscapes for sustainable development and global environmental protection.</w:t>
            </w:r>
          </w:p>
          <w:p w:rsidR="00D802A4" w:rsidRDefault="005650D6" w14:paraId="713F360D" w14:textId="77777777">
            <w:r>
              <w:rPr>
                <w:b/>
                <w:bCs/>
              </w:rPr>
              <w:t>Project Outcome 1.1 Ecosystem services and biodiversity within four targeted landscapes and seascapes  (Catubig Watershed, Aurora, Siargao Island Protected Landscapes Seascapes  and Calamian  Islands) are enhanced through integrated land-use systems.                                                                                                                                                                                        Outputs to achieve Outcome: Output 1.1.1: Community level small grant projects</w:t>
            </w:r>
            <w:r>
              <w:rPr>
                <w:b/>
                <w:bCs/>
              </w:rPr>
              <w:t xml:space="preserve"> in the selected landscapes that restore degraded landscapes, improve connectivity, support innovation in biodiversity conservation and optimization of ecosystem services (including reforestation of riparian gallery forests, forest fire control, enhanced connectivity for wetlands and priority conservation areas; water catchment protection; participatory monitoring of species; restoration of biological corridors).</w:t>
            </w:r>
          </w:p>
        </w:tc>
      </w:tr>
      <w:tr w:rsidR="00D802A4" w14:paraId="575B6865" w14:textId="77777777">
        <w:tc>
          <w:tcPr>
            <w:tcW w:w="4000" w:type="dxa"/>
            <w:noWrap/>
          </w:tcPr>
          <w:p w:rsidR="00D802A4" w:rsidRDefault="005650D6" w14:paraId="0312F36D" w14:textId="77777777">
            <w:r>
              <w:rPr>
                <w:b/>
                <w:bCs/>
              </w:rPr>
              <w:t>Description of Indicator</w:t>
            </w:r>
          </w:p>
        </w:tc>
        <w:tc>
          <w:tcPr>
            <w:tcW w:w="2000" w:type="dxa"/>
            <w:noWrap/>
          </w:tcPr>
          <w:p w:rsidR="00D802A4" w:rsidRDefault="005650D6" w14:paraId="09114C8E" w14:textId="77777777">
            <w:r>
              <w:rPr>
                <w:b/>
                <w:bCs/>
              </w:rPr>
              <w:t>Baseline Level</w:t>
            </w:r>
          </w:p>
        </w:tc>
        <w:tc>
          <w:tcPr>
            <w:tcW w:w="2000" w:type="dxa"/>
            <w:noWrap/>
          </w:tcPr>
          <w:p w:rsidR="00D802A4" w:rsidRDefault="005650D6" w14:paraId="77B2A0A7" w14:textId="77777777">
            <w:r>
              <w:rPr>
                <w:b/>
                <w:bCs/>
              </w:rPr>
              <w:t>Midterm target level</w:t>
            </w:r>
          </w:p>
        </w:tc>
        <w:tc>
          <w:tcPr>
            <w:tcW w:w="2000" w:type="dxa"/>
            <w:noWrap/>
          </w:tcPr>
          <w:p w:rsidR="00D802A4" w:rsidRDefault="005650D6" w14:paraId="1ACA18ED" w14:textId="77777777">
            <w:r>
              <w:rPr>
                <w:b/>
                <w:bCs/>
              </w:rPr>
              <w:t>End of project target level</w:t>
            </w:r>
          </w:p>
        </w:tc>
        <w:tc>
          <w:tcPr>
            <w:tcW w:w="4000" w:type="dxa"/>
            <w:noWrap/>
          </w:tcPr>
          <w:p w:rsidR="00D802A4" w:rsidRDefault="005650D6" w14:paraId="562B06CD" w14:textId="77777777">
            <w:r>
              <w:rPr>
                <w:b/>
                <w:bCs/>
              </w:rPr>
              <w:t>Level at Jun 30, 2024</w:t>
            </w:r>
          </w:p>
        </w:tc>
        <w:tc>
          <w:tcPr>
            <w:tcW w:w="4000" w:type="dxa"/>
            <w:noWrap/>
          </w:tcPr>
          <w:p w:rsidR="00D802A4" w:rsidRDefault="005650D6" w14:paraId="4BB0C3FC" w14:textId="77777777">
            <w:r>
              <w:rPr>
                <w:b/>
                <w:bCs/>
              </w:rPr>
              <w:t>Cumulative progress since project start as of Jun 30, 2025</w:t>
            </w:r>
          </w:p>
        </w:tc>
      </w:tr>
      <w:tr w:rsidR="00D802A4" w14:paraId="2434D0CE" w14:textId="77777777">
        <w:tc>
          <w:tcPr>
            <w:tcW w:w="4000" w:type="dxa"/>
            <w:noWrap/>
          </w:tcPr>
          <w:p w:rsidR="00D802A4" w:rsidRDefault="005650D6" w14:paraId="68C0E054" w14:textId="77777777">
            <w:r>
              <w:t>Indicator 6: Number of people (disaggregated by gender) within the landscape communities adopting biodiversity conservation, marine protection and sustainable development methods/techniques</w:t>
            </w:r>
          </w:p>
        </w:tc>
        <w:tc>
          <w:tcPr>
            <w:tcW w:w="2000" w:type="dxa"/>
            <w:noWrap/>
          </w:tcPr>
          <w:p w:rsidR="00D802A4" w:rsidRDefault="005650D6" w14:paraId="4A6AD719" w14:textId="77777777">
            <w:r>
              <w:t>1,500</w:t>
            </w:r>
          </w:p>
          <w:p w:rsidR="00D802A4" w:rsidRDefault="00D802A4" w14:paraId="7FCAB916" w14:textId="77777777"/>
        </w:tc>
        <w:tc>
          <w:tcPr>
            <w:tcW w:w="2000" w:type="dxa"/>
            <w:noWrap/>
          </w:tcPr>
          <w:p w:rsidR="00D802A4" w:rsidRDefault="005650D6" w14:paraId="1F2B8D7C" w14:textId="77777777">
            <w:r>
              <w:t>At least 3,000 men; 3,000 women</w:t>
            </w:r>
          </w:p>
          <w:p w:rsidR="00D802A4" w:rsidRDefault="00D802A4" w14:paraId="64DF97B3" w14:textId="77777777"/>
        </w:tc>
        <w:tc>
          <w:tcPr>
            <w:tcW w:w="2000" w:type="dxa"/>
            <w:noWrap/>
          </w:tcPr>
          <w:p w:rsidR="00D802A4" w:rsidRDefault="005650D6" w14:paraId="70CB9D12" w14:textId="77777777">
            <w:r>
              <w:t>At least 6,000 men, 6,000 women</w:t>
            </w:r>
          </w:p>
          <w:p w:rsidR="00D802A4" w:rsidRDefault="00D802A4" w14:paraId="4E559CB8" w14:textId="77777777"/>
        </w:tc>
        <w:tc>
          <w:tcPr>
            <w:tcW w:w="4000" w:type="dxa"/>
            <w:noWrap/>
          </w:tcPr>
          <w:p w:rsidR="00D802A4" w:rsidRDefault="005650D6" w14:paraId="456A2F50" w14:textId="77777777">
            <w:r>
              <w:t>Target on track.</w:t>
            </w:r>
          </w:p>
          <w:p w:rsidR="00D802A4" w:rsidRDefault="00D802A4" w14:paraId="15A5DC31" w14:textId="77777777"/>
          <w:p w:rsidR="00D802A4" w:rsidRDefault="005650D6" w14:paraId="16FD0C42" w14:textId="77777777">
            <w:r>
              <w:t>Cumulative progress as of 30 June 2024: 0 people within the landscape communities adopting biodiversity conservation, marine protection, and sustainable development methods/techniques (0% of the EOP target).</w:t>
            </w:r>
          </w:p>
          <w:p w:rsidR="00D802A4" w:rsidRDefault="00D802A4" w14:paraId="04CC0C42" w14:textId="77777777"/>
          <w:p w:rsidR="00D802A4" w:rsidRDefault="005650D6" w14:paraId="22FEF002" w14:textId="77777777">
            <w:r>
              <w:t>While no project has been approved yet as of this reporting period, the 11 proposals expected to be approved by the NSC in the next reporting period (see indicator 1) are foreseen to have 19,106 people (159% of the EOP target, 9,191 men – 153% of the EOP target and 9,915 women – 165% of the EOP target) within the landscape communities adopting biodiversity conservation, marine protection and sustainable development methods/techniques. A breakdown by landscape/seascape and grant approved (see indicator 1) is</w:t>
            </w:r>
            <w:r>
              <w:t xml:space="preserve"> provided hereunder:</w:t>
            </w:r>
          </w:p>
          <w:p w:rsidR="00D802A4" w:rsidRDefault="00D802A4" w14:paraId="294A40C3" w14:textId="77777777"/>
          <w:p w:rsidR="00D802A4" w:rsidRDefault="005650D6" w14:paraId="20A34FFC" w14:textId="77777777">
            <w:r>
              <w:t>1. Catubig Watershed: i) CAT-RG-002: 315 individuals (158 men, 157 women); ii) CAT-RG-006: 1,816 individuals (917 men, 899 women);iii) CAT-SG-001: 1,000 individuals (600 men, 400 women).</w:t>
            </w:r>
          </w:p>
          <w:p w:rsidR="00D802A4" w:rsidRDefault="00D802A4" w14:paraId="3440338A" w14:textId="77777777"/>
          <w:p w:rsidR="00D802A4" w:rsidRDefault="005650D6" w14:paraId="1E06096E" w14:textId="77777777">
            <w:r>
              <w:t>2. CGI: i) CGI-RG-001: 233 individuals (1,213 men, 1,118 women); ii) CGI-RG-002: 509 individuals (265 men, 244 women); iii) CGI-RG-011: 700 individuals (450 men, 250 women); iv) CGI-SG-001: 410 individuals (205 men, 205 women).</w:t>
            </w:r>
          </w:p>
          <w:p w:rsidR="00D802A4" w:rsidRDefault="00D802A4" w14:paraId="68A481B2" w14:textId="77777777"/>
          <w:p w:rsidR="00D802A4" w:rsidRDefault="005650D6" w14:paraId="0A108779" w14:textId="77777777">
            <w:r>
              <w:t>3. SIPLAS: i) SIA-RG-002: 2,614 individuals (1,056 men, 1,558 women); ii) SIA-SG-001: 675 individuals (334 men, 341 women); iii) SIA-SG-003: 4,236 individuals (2,198 men, 2,038 women).</w:t>
            </w:r>
          </w:p>
          <w:p w:rsidR="00D802A4" w:rsidRDefault="005650D6" w14:paraId="3729DF76" w14:textId="77777777">
            <w:r>
              <w:t>4. Aurora Province: i) AUP-SG-002: 4500 individuals (1,795 men, 2,705 women).</w:t>
            </w:r>
          </w:p>
          <w:p w:rsidR="00D802A4" w:rsidRDefault="00D802A4" w14:paraId="5C6E75AD" w14:textId="77777777"/>
          <w:p w:rsidR="00D802A4" w:rsidRDefault="005650D6" w14:paraId="14A55673" w14:textId="77777777">
            <w:r>
              <w:t>Biodiversity conservation, marine protection, and sustainable development methods/techniques to be adopted by communities through the above grants include natural and land habitat restoration and protection, establishment of local conservation areas, ecosystem rehabilitation, biodiversity-friendly enterprises (including Non-Timber Forest Products), protection of natural resources, agribusiness, food security, and eco-tourism.</w:t>
            </w:r>
          </w:p>
          <w:p w:rsidR="00D802A4" w:rsidRDefault="00D802A4" w14:paraId="25F24322" w14:textId="77777777"/>
          <w:p w:rsidR="00D802A4" w:rsidRDefault="005650D6" w14:paraId="5A064285" w14:textId="77777777">
            <w:r>
              <w:t>All information above is supported by evidence Annex 6 -  Indicator 6 available at: https://dub.sh/PIMS6254-Annex6</w:t>
            </w:r>
          </w:p>
        </w:tc>
        <w:tc>
          <w:tcPr>
            <w:tcW w:w="4000" w:type="dxa"/>
            <w:noWrap/>
          </w:tcPr>
          <w:p w:rsidR="00D802A4" w:rsidRDefault="005650D6" w14:paraId="3D32D9FC" w14:textId="77777777">
            <w:r>
              <w:t>Target on track.</w:t>
            </w:r>
          </w:p>
          <w:p w:rsidR="00D802A4" w:rsidRDefault="00D802A4" w14:paraId="62E16113" w14:textId="77777777"/>
          <w:p w:rsidR="00D802A4" w:rsidRDefault="005650D6" w14:paraId="7B560F82" w14:textId="77777777">
            <w:r>
              <w:t>Cumulative progress as of June 30, 2025: 7,470 people within the landscape communities adopting biodiversity conservation, marine protection, and sustainable development methods/techniques (62.25% of EOP target) with 3,652 men (60.87% of EOP target) and 3,814 women (63.57% of EOP target).</w:t>
            </w:r>
          </w:p>
          <w:p w:rsidR="00D802A4" w:rsidRDefault="00D802A4" w14:paraId="2F9DE6DD" w14:textId="77777777"/>
          <w:p w:rsidR="00D802A4" w:rsidRDefault="005650D6" w14:paraId="57AE70B2" w14:textId="77777777">
            <w:r>
              <w:t>The project, through the different grantees, provided interventions for these people to adopt conservation and sustainable development techniques across four major landscapes and seascapes. The breakdown by landscape and the mechanisms through which adoption occurred are detailed below:</w:t>
            </w:r>
          </w:p>
          <w:p w:rsidR="00D802A4" w:rsidRDefault="00D802A4" w14:paraId="5A263048" w14:textId="77777777"/>
          <w:p w:rsidR="00D802A4" w:rsidRDefault="005650D6" w14:paraId="06172F46" w14:textId="77777777">
            <w:r>
              <w:t>Aurora Province – 136 people (83 men, 53 women) - primary focus: Forest restoration, ancestral domain stewardship, biodiversity monitoring:</w:t>
            </w:r>
          </w:p>
          <w:p w:rsidR="00D802A4" w:rsidRDefault="005650D6" w14:paraId="427D403C" w14:textId="77777777">
            <w:r>
              <w:t>-</w:t>
            </w:r>
            <w:r>
              <w:tab/>
            </w:r>
            <w:r>
              <w:t>DETFAWAI involved 100 people adopting conservation measures and sustainable development methods (56 men, 44 women) through leadership, entrepreneurial, and paralegal training. 20 of them were deputized as DENROs and equipped with forest patrolling gear, helping institutionalized community-based monitoring systems.</w:t>
            </w:r>
          </w:p>
          <w:p w:rsidR="00D802A4" w:rsidRDefault="005650D6" w14:paraId="5A16134A" w14:textId="77777777">
            <w:r>
              <w:t>-</w:t>
            </w:r>
            <w:r>
              <w:tab/>
            </w:r>
            <w:r>
              <w:t>DALUHAY supported 36 people (27 men, 9 women) who applied participatory watershed characterization and biodiversity mapping techniques, supported by baseline assessments and localized planning sessions across six municipalities.</w:t>
            </w:r>
          </w:p>
          <w:p w:rsidR="00D802A4" w:rsidRDefault="005650D6" w14:paraId="1BEEE164" w14:textId="77777777">
            <w:r>
              <w:t>Primary focus: Sustainable development, training (leadership, entrepreneurial, paralegal), DENRO Deputation, forest monitoring, watershed characterization, biodiversity mapping, local planning</w:t>
            </w:r>
          </w:p>
          <w:p w:rsidR="00D802A4" w:rsidRDefault="00D802A4" w14:paraId="36497532" w14:textId="77777777"/>
          <w:p w:rsidR="00D802A4" w:rsidRDefault="005650D6" w14:paraId="3B21DE06" w14:textId="77777777">
            <w:r>
              <w:t>CGI – 1,556 people (875 men, 681 women)</w:t>
            </w:r>
          </w:p>
          <w:p w:rsidR="00D802A4" w:rsidRDefault="005650D6" w14:paraId="1D4F645F" w14:textId="77777777">
            <w:r>
              <w:t>-</w:t>
            </w:r>
            <w:r>
              <w:tab/>
            </w:r>
            <w:r>
              <w:t>SSFA led, with 560 people (289 men, 271 women), adopting and developing agroforestry, composting, and diversified livelihood systems, focusing on food security and ecological stability. The association implemented these systems by integrating fruit trees with root crops and nitrogen-fixing species. They also supported vermicomposting and organic fertilizer production using local materials. Training sessions included product development and processing of turmeric, calamansi, banana, and native chicken, enha</w:t>
            </w:r>
            <w:r>
              <w:t>ncing both household nutrition and income generation.</w:t>
            </w:r>
          </w:p>
          <w:p w:rsidR="00D802A4" w:rsidRDefault="005650D6" w14:paraId="09CA6256" w14:textId="77777777">
            <w:r>
              <w:t>-</w:t>
            </w:r>
            <w:r>
              <w:tab/>
            </w:r>
            <w:r>
              <w:t>CFI facilitated the adoption of 445 people (300 men, 145 women) in MPA management zoning, coral protection, and community-led fisheries management across multiple barangays.</w:t>
            </w:r>
          </w:p>
          <w:p w:rsidR="00D802A4" w:rsidRDefault="005650D6" w14:paraId="342B3E35" w14:textId="77777777">
            <w:r>
              <w:t>-</w:t>
            </w:r>
            <w:r>
              <w:tab/>
            </w:r>
            <w:r>
              <w:t>The Samdhana Institute assisted 165 people (105 men, 60 women) in sustainable livelihood development anchored on biodiversity conservation, particularly supporting IP organizations and women-led microenterprises. These interventions were conducted across six barangays—Tara, Malawig, Buenavista, Libis, Luac, and Baldat—where participants received technical coaching sessions to help craft enterprise plans tailored to local contexts and available natural resources. This approach strengthened community capacit</w:t>
            </w:r>
            <w:r>
              <w:t>y to link conservation efforts with locally rooted economic opportunities.</w:t>
            </w:r>
          </w:p>
          <w:p w:rsidR="00D802A4" w:rsidRDefault="005650D6" w14:paraId="79FE3D3C" w14:textId="77777777">
            <w:r>
              <w:t>-</w:t>
            </w:r>
            <w:r>
              <w:tab/>
            </w:r>
            <w:r>
              <w:t>CFR facilitated the adoption of 124 people (61 men, 63 women) on agroforestry, syntropic farming, nursery establishment, and individualized food forest planning. Each of the 50 food forest sites—a deliberately designed, multi-layered agroforestry plot that resembles the structure and functions of a natural forest to sustainably produce fruits, nuts, vegetables, and other crops— incorporated biodiversity-safe designs and climate-adaptive farming practices.</w:t>
            </w:r>
          </w:p>
          <w:p w:rsidR="00D802A4" w:rsidRDefault="005650D6" w14:paraId="298019AA" w14:textId="77777777">
            <w:r>
              <w:t>-</w:t>
            </w:r>
            <w:r>
              <w:tab/>
            </w:r>
            <w:r>
              <w:t>C3 Philippines, BDFA, and SBRWSA jointly facilitated the adoption of 262 people in marine biodiversity monitoring, community-based watershed management, and disaster-resilient infrastructure with conservation integration.</w:t>
            </w:r>
          </w:p>
          <w:p w:rsidR="00D802A4" w:rsidRDefault="005650D6" w14:paraId="326553C5" w14:textId="77777777">
            <w:r>
              <w:t>Primary focus: Agroforestry, marine conservation, biodiversity zoning, sustainable agriculture.</w:t>
            </w:r>
          </w:p>
          <w:p w:rsidR="00D802A4" w:rsidRDefault="00D802A4" w14:paraId="744B6B34" w14:textId="77777777"/>
          <w:p w:rsidR="00D802A4" w:rsidRDefault="005650D6" w14:paraId="0C5CA467" w14:textId="77777777">
            <w:r>
              <w:t>Catubig Watershed – 1,835 people (662 men, 1,169 women)</w:t>
            </w:r>
          </w:p>
          <w:p w:rsidR="00D802A4" w:rsidRDefault="005650D6" w14:paraId="591BB64B" w14:textId="77777777">
            <w:r>
              <w:t>A strong mixed of ecological, governance, and agricultural practices were adopted by beneficiaries through the following:</w:t>
            </w:r>
          </w:p>
          <w:p w:rsidR="00D802A4" w:rsidRDefault="005650D6" w14:paraId="172D41E7" w14:textId="77777777">
            <w:r>
              <w:t>-</w:t>
            </w:r>
            <w:r>
              <w:tab/>
            </w:r>
            <w:r>
              <w:t>CenSAAI enabled 898 people (218 men, 676 women) to apply biodiversity knowledge, participate in mapping, and influence conservation planning in 30 riparian barangays through socio-economic profiling and field surveys.</w:t>
            </w:r>
          </w:p>
          <w:p w:rsidR="00D802A4" w:rsidRDefault="005650D6" w14:paraId="3E45E88D" w14:textId="77777777">
            <w:r>
              <w:t>-</w:t>
            </w:r>
            <w:r>
              <w:tab/>
            </w:r>
            <w:r>
              <w:t>SCPI facilitated the adoption of biodiversity conservation and sustainable development methods among 600 people      (245 men, 355 women) through habitat protection and biodiversity monitoring. These people have been trained to function as VCTs.</w:t>
            </w:r>
          </w:p>
          <w:p w:rsidR="00D802A4" w:rsidRDefault="005650D6" w14:paraId="1AF73474" w14:textId="77777777">
            <w:r>
              <w:t>-</w:t>
            </w:r>
            <w:r>
              <w:tab/>
            </w:r>
            <w:r>
              <w:t>CAPWA contributed 126 people (75 men, 51 women) who applied reforestation techniques, community nursery operations, and conservation area governance under Community Based Forest Management Agreement (CBFMA) with the DENR.</w:t>
            </w:r>
          </w:p>
          <w:p w:rsidR="00D802A4" w:rsidRDefault="005650D6" w14:paraId="18A407B5" w14:textId="77777777">
            <w:r>
              <w:t>-</w:t>
            </w:r>
            <w:r>
              <w:tab/>
            </w:r>
            <w:r>
              <w:t>CCFI, with its affiliated PO, the SanDoQue Watershed Assoc., and Bantay Tubig Kalibungan (meaning Guardians of the Water Environment) (BTK) members integrated environmental sanitation and watershed management involving 93 people (67 men, 26 women)</w:t>
            </w:r>
          </w:p>
          <w:p w:rsidR="00D802A4" w:rsidRDefault="005650D6" w14:paraId="67C85BC1" w14:textId="77777777">
            <w:r>
              <w:t>-</w:t>
            </w:r>
            <w:r>
              <w:tab/>
            </w:r>
            <w:r>
              <w:t>SACRED facilitated the establishment of farmer learning platform on agroecological demonstration plots involving 118 people (57 men, and 61 women)</w:t>
            </w:r>
          </w:p>
          <w:p w:rsidR="00D802A4" w:rsidRDefault="005650D6" w14:paraId="0C74F360" w14:textId="77777777">
            <w:r>
              <w:t>Primary focus: Riverine biodiversity, agroecological farming, watershed protection, green financing.</w:t>
            </w:r>
          </w:p>
          <w:p w:rsidR="00D802A4" w:rsidRDefault="00D802A4" w14:paraId="7DA971CD" w14:textId="77777777"/>
          <w:p w:rsidR="00D802A4" w:rsidRDefault="005650D6" w14:paraId="687FD40F" w14:textId="77777777">
            <w:r>
              <w:t>SIPLAS – 3,943 people (2,032 men, 1,911 women)</w:t>
            </w:r>
          </w:p>
          <w:p w:rsidR="00D802A4" w:rsidRDefault="005650D6" w14:paraId="0AF736C4" w14:textId="77777777">
            <w:r>
              <w:t>-</w:t>
            </w:r>
            <w:r>
              <w:tab/>
            </w:r>
            <w:r>
              <w:t>LKLLB facilitated the implementation of Resilient and Sustainability Participatory Community Assessment that integrated resource management involving 3,943 people (2,032 men, 1,911 women). These people are members of the POs that are recipients of the PACBRMA awarded by the Protected Area Management Board (PAMB) and DENR. The PACBRMA is a land tenure instrument issued to organizations with members consisting of tenured migrants.</w:t>
            </w:r>
          </w:p>
          <w:p w:rsidR="00D802A4" w:rsidRDefault="005650D6" w14:paraId="48FCC595" w14:textId="77777777">
            <w:r>
              <w:t>Primary focus: Participatory assessment, resource management, land tenure, Protected Area management</w:t>
            </w:r>
          </w:p>
        </w:tc>
      </w:tr>
      <w:tr w:rsidR="00D802A4" w14:paraId="023DFB49" w14:textId="77777777">
        <w:tc>
          <w:tcPr>
            <w:tcW w:w="4000" w:type="dxa"/>
            <w:noWrap/>
          </w:tcPr>
          <w:p w:rsidR="00D802A4" w:rsidRDefault="005650D6" w14:paraId="193B22FD" w14:textId="77777777">
            <w:r>
              <w:t>Indicator 7: Number of community organizations leading and conducting improved land-use management practices</w:t>
            </w:r>
          </w:p>
        </w:tc>
        <w:tc>
          <w:tcPr>
            <w:tcW w:w="2000" w:type="dxa"/>
            <w:noWrap/>
          </w:tcPr>
          <w:p w:rsidR="00D802A4" w:rsidRDefault="005650D6" w14:paraId="0CBA0793" w14:textId="77777777">
            <w:r>
              <w:t>16</w:t>
            </w:r>
          </w:p>
          <w:p w:rsidR="00D802A4" w:rsidRDefault="00D802A4" w14:paraId="57C146B3" w14:textId="77777777"/>
        </w:tc>
        <w:tc>
          <w:tcPr>
            <w:tcW w:w="2000" w:type="dxa"/>
            <w:noWrap/>
          </w:tcPr>
          <w:p w:rsidR="00D802A4" w:rsidRDefault="005650D6" w14:paraId="2CC238FD" w14:textId="77777777">
            <w:r>
              <w:t>At least 30</w:t>
            </w:r>
          </w:p>
          <w:p w:rsidR="00D802A4" w:rsidRDefault="00D802A4" w14:paraId="32111455" w14:textId="77777777"/>
        </w:tc>
        <w:tc>
          <w:tcPr>
            <w:tcW w:w="2000" w:type="dxa"/>
            <w:noWrap/>
          </w:tcPr>
          <w:p w:rsidR="00D802A4" w:rsidRDefault="005650D6" w14:paraId="5445D339" w14:textId="77777777">
            <w:r>
              <w:t>At least 80</w:t>
            </w:r>
          </w:p>
          <w:p w:rsidR="00D802A4" w:rsidRDefault="00D802A4" w14:paraId="15C52373" w14:textId="77777777"/>
        </w:tc>
        <w:tc>
          <w:tcPr>
            <w:tcW w:w="4000" w:type="dxa"/>
            <w:noWrap/>
          </w:tcPr>
          <w:p w:rsidR="00D802A4" w:rsidRDefault="005650D6" w14:paraId="46EDC247" w14:textId="77777777">
            <w:r>
              <w:t>Target on track.</w:t>
            </w:r>
          </w:p>
          <w:p w:rsidR="00D802A4" w:rsidRDefault="00D802A4" w14:paraId="2A42ECEB" w14:textId="77777777"/>
          <w:p w:rsidR="00D802A4" w:rsidRDefault="005650D6" w14:paraId="6487C604" w14:textId="77777777">
            <w:r>
              <w:t>Cumulative progress as of 30 June 2024: 0 community organizations leading and conducting improved land-use management practices (0% of the EOP target).</w:t>
            </w:r>
          </w:p>
          <w:p w:rsidR="00D802A4" w:rsidRDefault="00D802A4" w14:paraId="47C46EB4" w14:textId="77777777"/>
          <w:p w:rsidR="00D802A4" w:rsidRDefault="005650D6" w14:paraId="55D7D4C5" w14:textId="77777777">
            <w:r>
              <w:t>While no project has been approved during the reporting period, the 11 proposals expected to be approved by the NSC in the next reporting period (see indicator 1) are foreseen to support 80 community organizations to lead and conduct improved land-use management practices (100% of the EOP target). A breakdown by landscape/seascape and grant approved (see indicator 1) is provided hereunder:</w:t>
            </w:r>
          </w:p>
          <w:p w:rsidR="00D802A4" w:rsidRDefault="00D802A4" w14:paraId="540A5A30" w14:textId="77777777"/>
          <w:p w:rsidR="00D802A4" w:rsidRDefault="005650D6" w14:paraId="2C32CE5D" w14:textId="77777777">
            <w:r>
              <w:t>1. Catubig Watershed: i) CAT-RG-002: 20 community organizations would participate to the identification of different Biodiversity projects intervention and shall co-implement biodiversity friendly enterprises; ii) CAT-RG-006: 4 community organizations which will be implementing habitat restoration activities; iii) CAT-SG-001: 5 community organizations focusing on biodiversity friendly enterprise development as well as micro-finance interventions.</w:t>
            </w:r>
          </w:p>
          <w:p w:rsidR="00D802A4" w:rsidRDefault="00D802A4" w14:paraId="342380FB" w14:textId="77777777"/>
          <w:p w:rsidR="00D802A4" w:rsidRDefault="005650D6" w14:paraId="5117E3B1" w14:textId="77777777">
            <w:r>
              <w:t xml:space="preserve">2. CGI: i) CGI-RG-001: 2 community organizations would improve governance of Local Conservation Areas and advocate for watershed conservation; ii) CGI-RG-002: 2 community organizations would help farmers’ establishing model farms that adhere to sustainably farming practices; iii) CGI-RG-011: 8 community organizations would develop biodiversity friendly enterprises alongside marine areas protection and monitoring; iv) CGI-SG-001: 12 community organizations would focus on conserving traditional knowledge and </w:t>
            </w:r>
            <w:r>
              <w:t>protection of ancestral domains/lands.</w:t>
            </w:r>
          </w:p>
          <w:p w:rsidR="00D802A4" w:rsidRDefault="00D802A4" w14:paraId="1C86D438" w14:textId="77777777"/>
          <w:p w:rsidR="00D802A4" w:rsidRDefault="005650D6" w14:paraId="7B8836CA" w14:textId="77777777">
            <w:r>
              <w:t>3. SIPLAS: i) SIA-RG-002: 1 community organization would develop products contributing to upscale waste materials; ii) SIA-SG-001: 7 community organizations would implement pilot aquaculture activities and protection of marine protected areas; iii) SIA-SG-003: 10 community organizations would proactively involve Indigenous People’s Organizations (IPO) by engaging them in capacity building activities; assessment and monitoring of watershed resources, planning and management; and advocates for maternal reserv</w:t>
            </w:r>
            <w:r>
              <w:t>es in their Ancestral Domain.</w:t>
            </w:r>
          </w:p>
          <w:p w:rsidR="00D802A4" w:rsidRDefault="00D802A4" w14:paraId="33AAEA68" w14:textId="77777777"/>
          <w:p w:rsidR="00D802A4" w:rsidRDefault="005650D6" w14:paraId="3EEF5765" w14:textId="77777777">
            <w:r>
              <w:t>4. Aurora Province: i) AUP-SG-002: 9 community organizations would support the establishment and management of Community Integrated Natural Farming and formulation of a Food Systems Plan.</w:t>
            </w:r>
          </w:p>
          <w:p w:rsidR="00D802A4" w:rsidRDefault="00D802A4" w14:paraId="7EF89FB2" w14:textId="77777777"/>
          <w:p w:rsidR="00D802A4" w:rsidRDefault="005650D6" w14:paraId="23135FFC" w14:textId="77777777">
            <w:r>
              <w:t>All information above is supported by evidence Annex 7 - Indicator 7 available at: https://dub.sh/PIMS6254-Annex7</w:t>
            </w:r>
          </w:p>
        </w:tc>
        <w:tc>
          <w:tcPr>
            <w:tcW w:w="4000" w:type="dxa"/>
            <w:noWrap/>
          </w:tcPr>
          <w:p w:rsidR="00D802A4" w:rsidRDefault="005650D6" w14:paraId="395604D0" w14:textId="77777777">
            <w:r>
              <w:t>Target achieved.</w:t>
            </w:r>
          </w:p>
          <w:p w:rsidR="00D802A4" w:rsidRDefault="00D802A4" w14:paraId="3403773B" w14:textId="77777777"/>
          <w:p w:rsidR="00D802A4" w:rsidRDefault="005650D6" w14:paraId="0401D9D8" w14:textId="77777777">
            <w:r>
              <w:t>Cumulative progress as of 30 June 2025: 109 community organizations leading and conducting improved land-use management practices (136% of the EOP target).</w:t>
            </w:r>
          </w:p>
          <w:p w:rsidR="00D802A4" w:rsidRDefault="00D802A4" w14:paraId="560EEAEA" w14:textId="77777777"/>
          <w:p w:rsidR="00D802A4" w:rsidRDefault="005650D6" w14:paraId="1556FCBC" w14:textId="77777777">
            <w:r>
              <w:t>The project was able to reach 109 community organizations despite the fact that only 17 grantees were still implementing direct activities during this reporting period. These grantees facilitated the organization of several POs while some worked in partnership with other organizations/communities that are not yet grantees of the SGP-7 to date. These strategies were clearly provided in the proposals submitted by these grantees. The detailed accounts of this accomplishment are provided below:</w:t>
            </w:r>
          </w:p>
          <w:p w:rsidR="00D802A4" w:rsidRDefault="00D802A4" w14:paraId="452A7716" w14:textId="77777777"/>
          <w:p w:rsidR="00D802A4" w:rsidRDefault="005650D6" w14:paraId="09276914" w14:textId="77777777">
            <w:r>
              <w:t>Aurora Province – 2 grantees and their 8 assisted organizations</w:t>
            </w:r>
          </w:p>
          <w:p w:rsidR="00D802A4" w:rsidRDefault="005650D6" w14:paraId="47F6CED3" w14:textId="77777777">
            <w:r>
              <w:t>In Aurora Province, 10 organizations have been actively engaged in improved land-use management activities. These include two registered organizations and 10 community groups:</w:t>
            </w:r>
          </w:p>
          <w:p w:rsidR="00D802A4" w:rsidRDefault="005650D6" w14:paraId="62695515" w14:textId="77777777">
            <w:r>
              <w:t>-</w:t>
            </w:r>
            <w:r>
              <w:tab/>
            </w:r>
            <w:r>
              <w:t>DETFAWAI led capacity-building initiatives for the Egongot tribal community, delivering leadership, entrepreneurial, and policy advocacy training to over 40 community members. They also appointed and deputized 20 Bantay Gubat volunteers equipped with monitoring tools to strengthen community-based forest protection and ancestral domain management.</w:t>
            </w:r>
          </w:p>
          <w:p w:rsidR="00D802A4" w:rsidRDefault="005650D6" w14:paraId="7DF1FE10" w14:textId="77777777">
            <w:r>
              <w:t>-</w:t>
            </w:r>
            <w:r>
              <w:tab/>
            </w:r>
            <w:r>
              <w:t>DALUHAY facilitated watershed characterization and vulnerability assessments, enabling participatory management of over 1,100 hectares of micro-watersheds. They formed six CWGs and trained more than 70 men and women on watershed governance and resilience.</w:t>
            </w:r>
          </w:p>
          <w:p w:rsidR="00D802A4" w:rsidRDefault="005650D6" w14:paraId="47AC9A2F" w14:textId="77777777">
            <w:r>
              <w:t>-</w:t>
            </w:r>
            <w:r>
              <w:tab/>
            </w:r>
            <w:r>
              <w:t>DALUHAY organized groups (eight communities) including Cozo, Dianawan, Diarabasin, Dikapinisan, L. Pimentel, Masagana (Poblacion), Paleg, and Zabali communities, actively participating in watershed management, community-based natural resource monitoring, and local ecosystem protection initiatives. They collaborated closely with DALUHAY and LGUs to implement sustainable land-use practices and strengthen local stewardship.</w:t>
            </w:r>
          </w:p>
          <w:p w:rsidR="00D802A4" w:rsidRDefault="00D802A4" w14:paraId="43A3C5FB" w14:textId="77777777"/>
          <w:p w:rsidR="00D802A4" w:rsidRDefault="005650D6" w14:paraId="7CEEFDE7" w14:textId="77777777">
            <w:r>
              <w:t>CGI – 7 grantees and their 30 assisted organizations</w:t>
            </w:r>
          </w:p>
          <w:p w:rsidR="00D802A4" w:rsidRDefault="005650D6" w14:paraId="778F914F" w14:textId="77777777">
            <w:r>
              <w:t>In CGI, a total of 37 organizations actively participated in improved land-use management and natural resource governance. These include prominent non-government organizations (NGOs) such as CFR, The Samdhana Institute, CFI, SBRWSA, C3 Philippines, along with their assisted organizations of fisherfolk and farmers.</w:t>
            </w:r>
          </w:p>
          <w:p w:rsidR="00D802A4" w:rsidRDefault="005650D6" w14:paraId="59C6706B" w14:textId="77777777">
            <w:r>
              <w:t>The Samdhana Institute played a critical role in strengthening customary governance by facilitating FPIC processes for two Tagbanwa ancestral domains. This legal recognition empowered indigenous communities and enabled the establishment of agroecology learning farms, directly benefiting over 60 households with sustainable land-use practices rooted in traditional stewardship and biodiversity conservation.</w:t>
            </w:r>
          </w:p>
          <w:p w:rsidR="00D802A4" w:rsidRDefault="005650D6" w14:paraId="2CD3A84A" w14:textId="77777777">
            <w:r>
              <w:t>-</w:t>
            </w:r>
            <w:r>
              <w:tab/>
            </w:r>
            <w:r>
              <w:t>The Samdhana Institute assisted 12 community groups under the Saragpunta federation, a Tagbanwa IP organization based in Barangay Tara, Coron, Palawan. Members of the Saragpunta federation are leading ancestral domain governance and developing sustainable, biodiversity-friendly livelihoods for the Tagbanwa community.</w:t>
            </w:r>
          </w:p>
          <w:p w:rsidR="00D802A4" w:rsidRDefault="005650D6" w14:paraId="4EEBFC8B" w14:textId="77777777">
            <w:r>
              <w:t>-</w:t>
            </w:r>
            <w:r>
              <w:tab/>
            </w:r>
            <w:r>
              <w:t>CFR engaged 50 families (31 female-led, 19 male-led) through comprehensive training on agroforestry, regenerative agriculture, and permaculture. They facilitated the establishment of 53 food forest farms, guiding beneficiaries in creating detailed farm plans that integrated biodiversity-friendly farming with secure land tenure, thereby promoting sustainable landscape restoration and productive land use.</w:t>
            </w:r>
          </w:p>
          <w:p w:rsidR="00D802A4" w:rsidRDefault="005650D6" w14:paraId="4E443C48" w14:textId="77777777">
            <w:r>
              <w:t>-</w:t>
            </w:r>
            <w:r>
              <w:tab/>
            </w:r>
            <w:r>
              <w:t>C3 Philippines supported 10 people’s organizations to develop nature-positive microenterprises and sustainable livelihood closely linked to biodiversity conservation goals. Through capacity building and enterprise coaching, C3 Philippines enabled these groups to enhance land stewardship while improving economic resilience.</w:t>
            </w:r>
          </w:p>
          <w:p w:rsidR="00D802A4" w:rsidRDefault="005650D6" w14:paraId="2AC9838E" w14:textId="77777777">
            <w:r>
              <w:t>-</w:t>
            </w:r>
            <w:r>
              <w:tab/>
            </w:r>
            <w:r>
              <w:t>SBRWSA led community-driven watershed protection efforts and managed rural waterworks systems, directly contributing to improved land and water resource management, pollution control, and ecosystem health within the watershed.</w:t>
            </w:r>
          </w:p>
          <w:p w:rsidR="00D802A4" w:rsidRDefault="005650D6" w14:paraId="0FC8998F" w14:textId="77777777">
            <w:r>
              <w:t>-</w:t>
            </w:r>
            <w:r>
              <w:tab/>
            </w:r>
            <w:r>
              <w:t>SSFA actively contributed to land-use improvement by participating in agroforestry training and collaborating in watershed protection initiatives. Their engagement strengthened local farmer capacities in sustainable farming practices and biodiversity-friendly agriculture, reinforcing community stewardship over agricultural landscapes.</w:t>
            </w:r>
          </w:p>
          <w:p w:rsidR="00D802A4" w:rsidRDefault="005650D6" w14:paraId="1DB7B48E" w14:textId="77777777">
            <w:r>
              <w:t>-</w:t>
            </w:r>
            <w:r>
              <w:tab/>
            </w:r>
            <w:r>
              <w:t>CFI is focusing on coordinating and strengthening eight fisherfolk associations to implement sustainable fisheries management plans aligned with coastal resource protection. Their efforts were aimed at reducing overfishing and habitat degradation, sustaining marine biodiversity, and improving community livelihoods.</w:t>
            </w:r>
          </w:p>
          <w:p w:rsidR="00D802A4" w:rsidRDefault="005650D6" w14:paraId="2B966881" w14:textId="77777777">
            <w:r>
              <w:t>-</w:t>
            </w:r>
            <w:r>
              <w:tab/>
            </w:r>
            <w:r>
              <w:t>The CFI-assisted community groups registered with the Department of Labor and Employment  (DOLE)—eight fisherfolk associations—are actively engaged in sustainable fishing, resource monitoring, and community-based enforcement. Through these efforts, they help protect vital habitats, promote responsible resource use, and support the long-term well-being of their coastal communities.</w:t>
            </w:r>
          </w:p>
          <w:p w:rsidR="00D802A4" w:rsidRDefault="00D802A4" w14:paraId="4433EA30" w14:textId="77777777"/>
          <w:p w:rsidR="00D802A4" w:rsidRDefault="005650D6" w14:paraId="16AC1EAA" w14:textId="77777777">
            <w:r>
              <w:t>Catubig Watershed – 6 grantees and 40 assisted organizations</w:t>
            </w:r>
          </w:p>
          <w:p w:rsidR="00D802A4" w:rsidRDefault="005650D6" w14:paraId="64211076" w14:textId="77777777">
            <w:r>
              <w:t>In the Catubig Watershed landscape, 40 organizations actively contributed to improved land-use management, watershed protection, and biodiversity conservation. This diverse network included key NGOs such as SACRED, CCFI, CAPWA, CenSAAI, SCPI, and CERD, alongside with their assisted farmer and fisherfolk organizations.</w:t>
            </w:r>
          </w:p>
          <w:p w:rsidR="00D802A4" w:rsidRDefault="005650D6" w14:paraId="63815B40" w14:textId="77777777">
            <w:r>
              <w:t>-</w:t>
            </w:r>
            <w:r>
              <w:tab/>
            </w:r>
            <w:r>
              <w:t>SACRED formed five farmer groups and conducted biodiversity education caravans, engaging over 118 active farmers and local officials across five barangays. Their work enhances community knowledge and commitment to sustainable watershed management and agroforestry practices. The five SACRED-assisted farmer groups are actively promoting sustainable watershed management and agroforestry practices by participating in biodiversity education caravans and implementing community-based conservation activities. Thei</w:t>
            </w:r>
            <w:r>
              <w:t>r efforts focus on increasing local knowledge, strengthening stewardship, and supporting the long-term health of watershed ecosystems.</w:t>
            </w:r>
          </w:p>
          <w:p w:rsidR="00D802A4" w:rsidRDefault="005650D6" w14:paraId="7496A507" w14:textId="77777777">
            <w:r>
              <w:t>-</w:t>
            </w:r>
            <w:r>
              <w:tab/>
            </w:r>
            <w:r>
              <w:t>CCFI organized the SanDoQue Watershed Association with 54 members and established three BTK teams comprising 42 volunteers. These groups actively monitor and protect water sources, implement sanitation measures, and advocate for watershed health in their communities.</w:t>
            </w:r>
          </w:p>
          <w:p w:rsidR="00D802A4" w:rsidRDefault="005650D6" w14:paraId="5245E445" w14:textId="77777777">
            <w:r>
              <w:t>-</w:t>
            </w:r>
            <w:r>
              <w:tab/>
            </w:r>
            <w:r>
              <w:t>CAPWA secured vital technical support from DENR-CENRO for surveying and mapping 50 hectares of forest lands targeted for reforestation and agroforestry. They also conducted comprehensive capacity needs assessments to five community organizations, and formulated detailed forest management plans, strengthening institutional readiness and ecological restoration efforts.</w:t>
            </w:r>
          </w:p>
          <w:p w:rsidR="00D802A4" w:rsidRDefault="005650D6" w14:paraId="5E53061A" w14:textId="77777777">
            <w:r>
              <w:t>-</w:t>
            </w:r>
            <w:r>
              <w:tab/>
            </w:r>
            <w:r>
              <w:t>CenSAAI trained and mobilized a survey team of nine local enumerators (six female, three male) who completed socio-economic and biodiversity surveys in 30 barangays within riparian zones. This data collection supports informed decision-making for community-based conservation and sustainable resource use.</w:t>
            </w:r>
          </w:p>
          <w:p w:rsidR="00D802A4" w:rsidRDefault="005650D6" w14:paraId="321E07E3" w14:textId="77777777">
            <w:r>
              <w:t>-</w:t>
            </w:r>
            <w:r>
              <w:tab/>
            </w:r>
            <w:r>
              <w:t>SCPI established 20 VCTs with a combined membership of 600, delivering organizational development training and capacity assessments. These VCTs serve as grassroots advocates and stewards of habitat protection, biodiversity monitoring, and sustainable livelihood promotion.</w:t>
            </w:r>
          </w:p>
          <w:p w:rsidR="00D802A4" w:rsidRDefault="005650D6" w14:paraId="45214D48" w14:textId="77777777">
            <w:r>
              <w:t>-</w:t>
            </w:r>
            <w:r>
              <w:tab/>
            </w:r>
            <w:r>
              <w:t>CERD collaborated with five local forest and fisherfolk associations, enhancing resource governance through community outreach and participatory management across multiple barangays. Their efforts support equitable access and sustainable utilization of natural resources.</w:t>
            </w:r>
          </w:p>
          <w:p w:rsidR="00D802A4" w:rsidRDefault="00D802A4" w14:paraId="299E9761" w14:textId="77777777"/>
          <w:p w:rsidR="00D802A4" w:rsidRDefault="005650D6" w14:paraId="44221E02" w14:textId="77777777">
            <w:r>
              <w:t>SIPLAS (Siargao and Palawan) – 2 grantees and 22 assisted organizations. In the SIPLAS landscape, 22 organizations are actively engaged in improved land-use management and sustainable resource governance. The landscape is anchored by SEDMFI and LKLLB, working closely with nine key POs representing farmers and fisherfolk communities.</w:t>
            </w:r>
          </w:p>
          <w:p w:rsidR="00D802A4" w:rsidRDefault="005650D6" w14:paraId="6BE60E49" w14:textId="77777777">
            <w:r>
              <w:t>-</w:t>
            </w:r>
            <w:r>
              <w:tab/>
            </w:r>
            <w:r>
              <w:t>SEDMFI conducted extensive consultations with 11 local POs across nine municipalities, facilitating proposal writing workshops that resulted in the drafting of 10 project proposals aimed at enhancing sustainable resource management and community-led conservation. These efforts built critical technical skills and improved access to funding for local organizations.</w:t>
            </w:r>
          </w:p>
          <w:p w:rsidR="00D802A4" w:rsidRDefault="005650D6" w14:paraId="73BF055F" w14:textId="77777777">
            <w:r>
              <w:t>-</w:t>
            </w:r>
            <w:r>
              <w:tab/>
            </w:r>
            <w:r>
              <w:t>LKLLB engaged nine POs collectively comprising over 4,000 members. Through participatory community assessments and capacity-building activities, LKLLB strengthened network cohesion and empowered these groups to collaboratively govern and sustainably manage marine and terrestrial resources. The nine POs include diverse farmers’ and fisherfolk associations with membership sizes ranging from 15 to over 1,400 people. These organizations actively implement biodiversity-friendly enterprises and resource protecti</w:t>
            </w:r>
            <w:r>
              <w:t>on measures, contributing significantly to landscape-level ecological resilience and livelihood sustainability.</w:t>
            </w:r>
          </w:p>
        </w:tc>
      </w:tr>
      <w:tr w:rsidR="00D802A4" w14:paraId="61A706B2" w14:textId="77777777">
        <w:tc>
          <w:tcPr>
            <w:tcW w:w="4000" w:type="dxa"/>
            <w:noWrap/>
          </w:tcPr>
          <w:p w:rsidR="00D802A4" w:rsidRDefault="005650D6" w14:paraId="1EDDD70B" w14:textId="77777777">
            <w:r>
              <w:t>Indicator 8: Percentage of SGP-07 projects that improve the participation of women in natural resource governance</w:t>
            </w:r>
          </w:p>
        </w:tc>
        <w:tc>
          <w:tcPr>
            <w:tcW w:w="2000" w:type="dxa"/>
            <w:noWrap/>
          </w:tcPr>
          <w:p w:rsidR="00D802A4" w:rsidRDefault="005650D6" w14:paraId="3F8F8B54" w14:textId="77777777">
            <w:r>
              <w:t>0</w:t>
            </w:r>
          </w:p>
        </w:tc>
        <w:tc>
          <w:tcPr>
            <w:tcW w:w="2000" w:type="dxa"/>
            <w:noWrap/>
          </w:tcPr>
          <w:p w:rsidR="00D802A4" w:rsidRDefault="005650D6" w14:paraId="00E0E731" w14:textId="77777777">
            <w:r>
              <w:t>At least 10%</w:t>
            </w:r>
          </w:p>
          <w:p w:rsidR="00D802A4" w:rsidRDefault="00D802A4" w14:paraId="4F11F5D4" w14:textId="77777777"/>
        </w:tc>
        <w:tc>
          <w:tcPr>
            <w:tcW w:w="2000" w:type="dxa"/>
            <w:noWrap/>
          </w:tcPr>
          <w:p w:rsidR="00D802A4" w:rsidRDefault="005650D6" w14:paraId="7F10943D" w14:textId="77777777">
            <w:r>
              <w:t>At least 40%</w:t>
            </w:r>
          </w:p>
          <w:p w:rsidR="00D802A4" w:rsidRDefault="00D802A4" w14:paraId="3A13E5BE" w14:textId="77777777"/>
        </w:tc>
        <w:tc>
          <w:tcPr>
            <w:tcW w:w="4000" w:type="dxa"/>
            <w:noWrap/>
          </w:tcPr>
          <w:p w:rsidR="00D802A4" w:rsidRDefault="005650D6" w14:paraId="28616DFC" w14:textId="77777777">
            <w:r>
              <w:t>Target on track.</w:t>
            </w:r>
          </w:p>
          <w:p w:rsidR="00D802A4" w:rsidRDefault="00D802A4" w14:paraId="3CC52CB8" w14:textId="77777777"/>
          <w:p w:rsidR="00D802A4" w:rsidRDefault="005650D6" w14:paraId="73517651" w14:textId="77777777">
            <w:r>
              <w:t>Cumulative progress as of 30 June 2024: 0% of SGP-07 projects that improve the participation of women in natural resource governance (0% of the EOP target).</w:t>
            </w:r>
          </w:p>
          <w:p w:rsidR="00D802A4" w:rsidRDefault="00D802A4" w14:paraId="1734FBB6" w14:textId="77777777"/>
          <w:p w:rsidR="00D802A4" w:rsidRDefault="005650D6" w14:paraId="66A93960" w14:textId="77777777">
            <w:r>
              <w:t>While no grant proposals were approved during the reporting period, the 11 proposals expected to be approved by the NSC in the next reporting period (see indicator 1) are foreseen to contribute directly to the improvement of women’s participation in natural resource governance (250% of the EOP target). A breakdown by landscape/seascape and grant approved (see indicator 1) is provided hereunder:</w:t>
            </w:r>
          </w:p>
          <w:p w:rsidR="00D802A4" w:rsidRDefault="00D802A4" w14:paraId="050B03ED" w14:textId="77777777"/>
          <w:p w:rsidR="00D802A4" w:rsidRDefault="005650D6" w14:paraId="12A24BBB" w14:textId="77777777">
            <w:r>
              <w:t>1. Catubig Watershed: i) CAT-RG-002 involves 157 women of 315 total participants (50% women participation) who will be leading the establishment of cottage industries to provide livelihood for members; ii) CAT-RG-006 involves 899 women of 1816 total participants (50% women participation); iii) CAT-SG-001 involves 400 women of 1,000 total participants (40% women participation) who will be engaged in home-based biodiversity friendly enterprises.</w:t>
            </w:r>
          </w:p>
          <w:p w:rsidR="00D802A4" w:rsidRDefault="00D802A4" w14:paraId="773FF3FC" w14:textId="77777777"/>
          <w:p w:rsidR="00D802A4" w:rsidRDefault="005650D6" w14:paraId="6B800D72" w14:textId="77777777">
            <w:r>
              <w:t>2. CGI: i) CGI-RG-001 involves 1118 women of 2331 total participants (48% women participation) who will help building capacity of LCA Management Committee on Forest protection; ii) CGI-RG-002 involves 244 women of 509 total participants (48% women participation) who will be strengthening IP and purok leaders, women, youth and weavers of Dechelem; iii) CGI-RG-011 involves 250 women of 700 total participants (36% women participation) who will be involved in the formulation of municipal policies and plans; iv)</w:t>
            </w:r>
            <w:r>
              <w:t xml:space="preserve"> CGI-SG-001 involves 205 women of 410 total participants (50% women participation).</w:t>
            </w:r>
          </w:p>
          <w:p w:rsidR="00D802A4" w:rsidRDefault="00D802A4" w14:paraId="2A90B4D8" w14:textId="77777777"/>
          <w:p w:rsidR="00D802A4" w:rsidRDefault="005650D6" w14:paraId="0C7681A3" w14:textId="77777777">
            <w:r>
              <w:t>3. SIPLAS: i) SIA-RG-002 involves 1558 women of 2614 total participants (60% women participation) who will support the production of up-cycled products from advertising tarps; ii) SIA-SG-001 involves 341 women of 675 total participants (51% women participation) who will roll-out income generating activities; iii) IA-SG-003 involves 2038 women of 4236 total participants (48% women participation).</w:t>
            </w:r>
          </w:p>
          <w:p w:rsidR="00D802A4" w:rsidRDefault="00D802A4" w14:paraId="39580269" w14:textId="77777777"/>
          <w:p w:rsidR="00D802A4" w:rsidRDefault="005650D6" w14:paraId="006158D4" w14:textId="77777777">
            <w:r>
              <w:t>4. Aurora Province: i) AUP-SG-002 involves 2705 women of 4500 total participants (60% women participation) who will contribute to establish a maternal reserve as well as a maternal kitchen, acknowledging the mothers’ special responsibilities in providing balanced and nutritious meals for them and their families particularly when pregnant, lactating and for vulnerable children.</w:t>
            </w:r>
          </w:p>
          <w:p w:rsidR="00D802A4" w:rsidRDefault="00D802A4" w14:paraId="319978F6" w14:textId="77777777"/>
          <w:p w:rsidR="00D802A4" w:rsidRDefault="005650D6" w14:paraId="67C234D5" w14:textId="77777777">
            <w:r>
              <w:t>All information above is supported by evidence Annex 8 - Indicator 8 available at: https://dub.sh/PIMS6254-Annex8</w:t>
            </w:r>
          </w:p>
        </w:tc>
        <w:tc>
          <w:tcPr>
            <w:tcW w:w="4000" w:type="dxa"/>
            <w:noWrap/>
          </w:tcPr>
          <w:p w:rsidR="00D802A4" w:rsidRDefault="005650D6" w14:paraId="2071B1D6" w14:textId="77777777">
            <w:r>
              <w:t>Target on track.</w:t>
            </w:r>
          </w:p>
          <w:p w:rsidR="00D802A4" w:rsidRDefault="00D802A4" w14:paraId="44C02C25" w14:textId="77777777"/>
          <w:p w:rsidR="00D802A4" w:rsidRDefault="005650D6" w14:paraId="1B6A5345" w14:textId="77777777">
            <w:r>
              <w:t>Cumulative progress as of 30 June 2025: 10 of the 45 SGP-07 projects improve the participation of women in natural resource governance (25% of the EOP target).</w:t>
            </w:r>
          </w:p>
          <w:p w:rsidR="00D802A4" w:rsidRDefault="00D802A4" w14:paraId="59095103" w14:textId="77777777"/>
          <w:p w:rsidR="00D802A4" w:rsidRDefault="005650D6" w14:paraId="5575BCDA" w14:textId="77777777">
            <w:r>
              <w:t>10 out of the 45 approved grants contributed to this indicator. They span Aurora Province (2), CGI (1), Catubig Watershed (5) and SIPLAS (2) with each grantee leading targeted initiatives to strengthen women’s roles in environmental decision-making. The following detailed discussion per landscape/seascape is provided.</w:t>
            </w:r>
          </w:p>
          <w:p w:rsidR="00D802A4" w:rsidRDefault="00D802A4" w14:paraId="20DACC17" w14:textId="77777777"/>
          <w:p w:rsidR="00D802A4" w:rsidRDefault="005650D6" w14:paraId="04D4607B" w14:textId="77777777">
            <w:r>
              <w:t>The EOP target is likely to be achieved in the next reporting period once other approved grants start implementing activities that would improve the participation of women in natural resource governance.</w:t>
            </w:r>
          </w:p>
          <w:p w:rsidR="00D802A4" w:rsidRDefault="00D802A4" w14:paraId="62860528" w14:textId="77777777"/>
          <w:p w:rsidR="00D802A4" w:rsidRDefault="005650D6" w14:paraId="4A80AB65" w14:textId="77777777">
            <w:r>
              <w:t>Aurora Province- 2 projects</w:t>
            </w:r>
          </w:p>
          <w:p w:rsidR="00D802A4" w:rsidRDefault="005650D6" w14:paraId="453C0FB1" w14:textId="77777777">
            <w:r>
              <w:t>-</w:t>
            </w:r>
            <w:r>
              <w:tab/>
            </w:r>
            <w:r>
              <w:t>DETFAWAI advanced women's participation through comprehensive financial literacy and policy advocacy training. These included leadership development and team-building sessions, which engaged 14 women—five of whom participated in leadership training and 11 in policy and advocacy workshops.</w:t>
            </w:r>
          </w:p>
          <w:p w:rsidR="00D802A4" w:rsidRDefault="005650D6" w14:paraId="2C32D683" w14:textId="77777777">
            <w:r>
              <w:t>-</w:t>
            </w:r>
            <w:r>
              <w:tab/>
            </w:r>
            <w:r>
              <w:t>DALUHAY fostered socio-ecological resilience by initiating community-managed micro-watersheds, emphasizing watershed characterization and vulnerability assessments. This participatory approach empowered 71 women, equipping them with skills in environmental monitoring and watershed management.</w:t>
            </w:r>
          </w:p>
          <w:p w:rsidR="00D802A4" w:rsidRDefault="00D802A4" w14:paraId="355C37EE" w14:textId="77777777"/>
          <w:p w:rsidR="00D802A4" w:rsidRDefault="005650D6" w14:paraId="2DDA8539" w14:textId="77777777">
            <w:r>
              <w:t>CGI-1 Project</w:t>
            </w:r>
          </w:p>
          <w:p w:rsidR="00D802A4" w:rsidRDefault="005650D6" w14:paraId="3335946E" w14:textId="77777777">
            <w:r>
              <w:t>-</w:t>
            </w:r>
            <w:r>
              <w:tab/>
            </w:r>
            <w:r>
              <w:t>CFR conducted extensive training on agroforestry, nursery management, and farm planning as part of its food forest system initiative. These capacity-building activities reached 69 women who actively participated in orientations and technical sessions, enhancing their role in biodiversity-friendly agriculture and conservation.</w:t>
            </w:r>
          </w:p>
          <w:p w:rsidR="00D802A4" w:rsidRDefault="00D802A4" w14:paraId="298C06B2" w14:textId="77777777"/>
          <w:p w:rsidR="00D802A4" w:rsidRDefault="005650D6" w14:paraId="7BE9A01F" w14:textId="77777777">
            <w:r>
              <w:t>Catubig Watershed- 5 Projects</w:t>
            </w:r>
          </w:p>
          <w:p w:rsidR="00D802A4" w:rsidRDefault="005650D6" w14:paraId="4CB0ADB6" w14:textId="77777777">
            <w:r>
              <w:t>-</w:t>
            </w:r>
            <w:r>
              <w:tab/>
            </w:r>
            <w:r>
              <w:t>CAPWA engaged 51 women in community restoration planning, capacity needs assessments, and barangay-level reforestation coordination, thereby enhancing their leadership in local environmental stewardship.</w:t>
            </w:r>
          </w:p>
          <w:p w:rsidR="00D802A4" w:rsidRDefault="005650D6" w14:paraId="310500E6" w14:textId="77777777">
            <w:r>
              <w:t>-</w:t>
            </w:r>
            <w:r>
              <w:tab/>
            </w:r>
            <w:r>
              <w:t>CCFI organized a PO with a female majority of 54 women members, and trained 22 women as part of the BTK teams, enabling them to contribute directly to water resource management.</w:t>
            </w:r>
          </w:p>
          <w:p w:rsidR="00D802A4" w:rsidRDefault="005650D6" w14:paraId="280052F8" w14:textId="77777777">
            <w:r>
              <w:t>-</w:t>
            </w:r>
            <w:r>
              <w:tab/>
            </w:r>
            <w:r>
              <w:t>CenSAAI empowered women through socio-economic surveys and community profiling in 30 barangays. The project engaged 676 women as respondents and trained six female enumerators in data collection and biodiversity monitoring.</w:t>
            </w:r>
          </w:p>
          <w:p w:rsidR="00D802A4" w:rsidRDefault="005650D6" w14:paraId="2F7BBEA6" w14:textId="77777777">
            <w:r>
              <w:t>-</w:t>
            </w:r>
            <w:r>
              <w:tab/>
            </w:r>
            <w:r>
              <w:t>SCPI facilitated 20 Organizational Development trainings attended by 591 women, while also establishing 20 VCTs with women elected as officers, strengthening their participation in biodiversity conservation and green financing initiatives.</w:t>
            </w:r>
          </w:p>
          <w:p w:rsidR="00D802A4" w:rsidRDefault="005650D6" w14:paraId="394DB5E1" w14:textId="77777777">
            <w:r>
              <w:t>-</w:t>
            </w:r>
            <w:r>
              <w:tab/>
            </w:r>
            <w:r>
              <w:t>SACRED implemented farmer consultations, focus group discussions, and orientations with a significant female presence, engaging 69 women who contributed to sustainable agriculture and agroforestry practices.</w:t>
            </w:r>
          </w:p>
          <w:p w:rsidR="00D802A4" w:rsidRDefault="00D802A4" w14:paraId="75474ED4" w14:textId="77777777"/>
          <w:p w:rsidR="00D802A4" w:rsidRDefault="005650D6" w14:paraId="4BA80FE7" w14:textId="77777777">
            <w:r>
              <w:t>SIPLAS - 2 Projects</w:t>
            </w:r>
          </w:p>
          <w:p w:rsidR="00D802A4" w:rsidRDefault="005650D6" w14:paraId="0976F88C" w14:textId="77777777">
            <w:r>
              <w:t>-</w:t>
            </w:r>
            <w:r>
              <w:tab/>
            </w:r>
            <w:r>
              <w:t>LKLLB empowered 2,610 women across multiple POs through participatory community assessments and capacity-building workshops. This network-building approach increased women’s involvement in sustainable resource management within the PACBRMA.</w:t>
            </w:r>
          </w:p>
          <w:p w:rsidR="00D802A4" w:rsidRDefault="005650D6" w14:paraId="3429CE5A" w14:textId="77777777">
            <w:r>
              <w:t>-</w:t>
            </w:r>
            <w:r>
              <w:tab/>
            </w:r>
            <w:r>
              <w:t>SEDMFI supported proposal writing workshops and capacity-building activities involving women representatives from POs and NGOs, fostering their active engagement in landscape governance and project development.</w:t>
            </w:r>
          </w:p>
          <w:p w:rsidR="00D802A4" w:rsidRDefault="00D802A4" w14:paraId="42DE3514" w14:textId="77777777"/>
        </w:tc>
      </w:tr>
      <w:tr w:rsidR="00D802A4" w14:paraId="3CE1B19D" w14:textId="77777777">
        <w:tc>
          <w:tcPr>
            <w:tcW w:w="4000" w:type="dxa"/>
            <w:noWrap/>
          </w:tcPr>
          <w:p w:rsidR="00D802A4" w:rsidRDefault="005650D6" w14:paraId="5FB8D0F9" w14:textId="77777777">
            <w:r>
              <w:rPr>
                <w:b/>
                <w:bCs/>
              </w:rPr>
              <w:t>The progress of the objective/outcome can be described as:</w:t>
            </w:r>
          </w:p>
        </w:tc>
        <w:tc>
          <w:tcPr>
            <w:tcW w:w="12000" w:type="dxa"/>
            <w:gridSpan w:val="5"/>
            <w:noWrap/>
          </w:tcPr>
          <w:p w:rsidR="00D802A4" w:rsidRDefault="005650D6" w14:paraId="5035D964" w14:textId="77777777">
            <w:r>
              <w:rPr>
                <w:b/>
                <w:bCs/>
              </w:rPr>
              <w:t>On track</w:t>
            </w:r>
          </w:p>
        </w:tc>
      </w:tr>
      <w:tr w:rsidR="00D802A4" w14:paraId="08631CE2" w14:textId="77777777">
        <w:tc>
          <w:tcPr>
            <w:tcW w:w="4000" w:type="dxa"/>
            <w:noWrap/>
          </w:tcPr>
          <w:p w:rsidR="00D802A4" w:rsidRDefault="005650D6" w14:paraId="3967972C" w14:textId="77777777">
            <w:r>
              <w:rPr>
                <w:b/>
                <w:bCs/>
              </w:rPr>
              <w:t>Evidence uploaded:</w:t>
            </w:r>
          </w:p>
        </w:tc>
        <w:tc>
          <w:tcPr>
            <w:tcW w:w="12000" w:type="dxa"/>
            <w:gridSpan w:val="5"/>
            <w:noWrap/>
          </w:tcPr>
          <w:p w:rsidR="00D802A4" w:rsidRDefault="005650D6" w14:paraId="561F433B" w14:textId="77777777">
            <w:r>
              <w:t>YES</w:t>
            </w:r>
          </w:p>
        </w:tc>
      </w:tr>
      <w:tr w:rsidR="00D802A4" w14:paraId="2C099452" w14:textId="77777777">
        <w:tc>
          <w:tcPr>
            <w:tcW w:w="16000" w:type="dxa"/>
            <w:gridSpan w:val="6"/>
            <w:shd w:val="clear" w:color="auto" w:fill="D9D9D9"/>
            <w:noWrap/>
          </w:tcPr>
          <w:p w:rsidR="00D802A4" w:rsidRDefault="005650D6" w14:paraId="5D57B389" w14:textId="77777777">
            <w:r>
              <w:rPr>
                <w:b/>
                <w:bCs/>
              </w:rPr>
              <w:t>Outcome 2</w:t>
            </w:r>
          </w:p>
          <w:p w:rsidR="00D802A4" w:rsidRDefault="005650D6" w14:paraId="088F79C5" w14:textId="77777777">
            <w:r>
              <w:rPr>
                <w:b/>
                <w:bCs/>
              </w:rPr>
              <w:t>Outcome 1.2 The sustainability of production systems in the target landscapes is strengthened through integrated agro-ecological practices.</w:t>
            </w:r>
          </w:p>
          <w:p w:rsidR="00D802A4" w:rsidRDefault="005650D6" w14:paraId="033F3CBB" w14:textId="77777777">
            <w:r>
              <w:rPr>
                <w:b/>
                <w:bCs/>
              </w:rPr>
              <w:t>Outputs to achieve outcome: Output 1.2.1. Targeted community projects enhancing the sustainability and resilience of production systems, including agroforestry systems, sustainable management of non-timber forest products, soil and water conservation practices, increased on-farm arboreal coverage with native species; agro-ecological practices, multiple cropping systems and small-scale organic agriculture.</w:t>
            </w:r>
          </w:p>
        </w:tc>
      </w:tr>
      <w:tr w:rsidR="00D802A4" w14:paraId="18352DFF" w14:textId="77777777">
        <w:tc>
          <w:tcPr>
            <w:tcW w:w="4000" w:type="dxa"/>
            <w:noWrap/>
          </w:tcPr>
          <w:p w:rsidR="00D802A4" w:rsidRDefault="005650D6" w14:paraId="068BE516" w14:textId="77777777">
            <w:r>
              <w:rPr>
                <w:b/>
                <w:bCs/>
              </w:rPr>
              <w:t>Description of Indicator</w:t>
            </w:r>
          </w:p>
        </w:tc>
        <w:tc>
          <w:tcPr>
            <w:tcW w:w="2000" w:type="dxa"/>
            <w:noWrap/>
          </w:tcPr>
          <w:p w:rsidR="00D802A4" w:rsidRDefault="005650D6" w14:paraId="3FE0388F" w14:textId="77777777">
            <w:r>
              <w:rPr>
                <w:b/>
                <w:bCs/>
              </w:rPr>
              <w:t>Baseline Level</w:t>
            </w:r>
          </w:p>
        </w:tc>
        <w:tc>
          <w:tcPr>
            <w:tcW w:w="2000" w:type="dxa"/>
            <w:noWrap/>
          </w:tcPr>
          <w:p w:rsidR="00D802A4" w:rsidRDefault="005650D6" w14:paraId="17E6AF4D" w14:textId="77777777">
            <w:r>
              <w:rPr>
                <w:b/>
                <w:bCs/>
              </w:rPr>
              <w:t>Midterm target level</w:t>
            </w:r>
          </w:p>
        </w:tc>
        <w:tc>
          <w:tcPr>
            <w:tcW w:w="2000" w:type="dxa"/>
            <w:noWrap/>
          </w:tcPr>
          <w:p w:rsidR="00D802A4" w:rsidRDefault="005650D6" w14:paraId="07DFDF4A" w14:textId="77777777">
            <w:r>
              <w:rPr>
                <w:b/>
                <w:bCs/>
              </w:rPr>
              <w:t>End of project target level</w:t>
            </w:r>
          </w:p>
        </w:tc>
        <w:tc>
          <w:tcPr>
            <w:tcW w:w="4000" w:type="dxa"/>
            <w:noWrap/>
          </w:tcPr>
          <w:p w:rsidR="00D802A4" w:rsidRDefault="005650D6" w14:paraId="3285C3D8" w14:textId="77777777">
            <w:r>
              <w:rPr>
                <w:b/>
                <w:bCs/>
              </w:rPr>
              <w:t>Level at Jun 30, 2024</w:t>
            </w:r>
          </w:p>
        </w:tc>
        <w:tc>
          <w:tcPr>
            <w:tcW w:w="4000" w:type="dxa"/>
            <w:noWrap/>
          </w:tcPr>
          <w:p w:rsidR="00D802A4" w:rsidRDefault="005650D6" w14:paraId="50B70484" w14:textId="77777777">
            <w:r>
              <w:rPr>
                <w:b/>
                <w:bCs/>
              </w:rPr>
              <w:t>Cumulative progress since project start as of Jun 30, 2025</w:t>
            </w:r>
          </w:p>
        </w:tc>
      </w:tr>
      <w:tr w:rsidR="00D802A4" w14:paraId="10CD54C7" w14:textId="77777777">
        <w:tc>
          <w:tcPr>
            <w:tcW w:w="4000" w:type="dxa"/>
            <w:noWrap/>
          </w:tcPr>
          <w:p w:rsidR="00D802A4" w:rsidRDefault="005650D6" w14:paraId="4B3254A5" w14:textId="77777777">
            <w:r>
              <w:t>Indicator 9: Number of farmers and fisherfolk (disaggregated by gender) within the landscape communities adopting appropriate agro-ecological/marine/coastal eco-systems-based technologies and systems</w:t>
            </w:r>
          </w:p>
        </w:tc>
        <w:tc>
          <w:tcPr>
            <w:tcW w:w="2000" w:type="dxa"/>
            <w:noWrap/>
          </w:tcPr>
          <w:p w:rsidR="00D802A4" w:rsidRDefault="005650D6" w14:paraId="64E622F1" w14:textId="77777777">
            <w:r>
              <w:t>1,500</w:t>
            </w:r>
          </w:p>
          <w:p w:rsidR="00D802A4" w:rsidRDefault="00D802A4" w14:paraId="6BD7720E" w14:textId="77777777"/>
          <w:p w:rsidR="00D802A4" w:rsidRDefault="00D802A4" w14:paraId="433F829D" w14:textId="77777777"/>
        </w:tc>
        <w:tc>
          <w:tcPr>
            <w:tcW w:w="2000" w:type="dxa"/>
            <w:noWrap/>
          </w:tcPr>
          <w:p w:rsidR="00D802A4" w:rsidRDefault="005650D6" w14:paraId="7682A0B7" w14:textId="77777777">
            <w:r>
              <w:t>1,000 men; 1,000 women</w:t>
            </w:r>
          </w:p>
          <w:p w:rsidR="00D802A4" w:rsidRDefault="00D802A4" w14:paraId="0C5C8AF7" w14:textId="77777777"/>
        </w:tc>
        <w:tc>
          <w:tcPr>
            <w:tcW w:w="2000" w:type="dxa"/>
            <w:noWrap/>
          </w:tcPr>
          <w:p w:rsidR="00D802A4" w:rsidRDefault="005650D6" w14:paraId="554BCA38" w14:textId="77777777">
            <w:r>
              <w:t>At least 2,000 men; 2,000 women</w:t>
            </w:r>
          </w:p>
          <w:p w:rsidR="00D802A4" w:rsidRDefault="00D802A4" w14:paraId="5799B1CA" w14:textId="77777777"/>
        </w:tc>
        <w:tc>
          <w:tcPr>
            <w:tcW w:w="4000" w:type="dxa"/>
            <w:noWrap/>
          </w:tcPr>
          <w:p w:rsidR="00D802A4" w:rsidRDefault="005650D6" w14:paraId="3E467E5B" w14:textId="77777777">
            <w:r>
              <w:t>Target on track.</w:t>
            </w:r>
          </w:p>
          <w:p w:rsidR="00D802A4" w:rsidRDefault="00D802A4" w14:paraId="316A3915" w14:textId="77777777"/>
          <w:p w:rsidR="00D802A4" w:rsidRDefault="005650D6" w14:paraId="531CB42B" w14:textId="77777777">
            <w:r>
              <w:t>Cumulative progress as of 30 June 2024: 0 farmers and fisherfolk within the landscape communities adopting appropriate agro-ecological/marine/coastal ecosystems-based technologies and systems (0% of the EOP target).</w:t>
            </w:r>
          </w:p>
          <w:p w:rsidR="00D802A4" w:rsidRDefault="00D802A4" w14:paraId="0F38B1C9" w14:textId="77777777"/>
          <w:p w:rsidR="00D802A4" w:rsidRDefault="005650D6" w14:paraId="0D092F89" w14:textId="77777777">
            <w:r>
              <w:t>While no grant proposals were approved during the reporting period, 10 out of the 11 grant proposals expected to be approved by the NSC in the next reporting period (see indicator 1) are foreseen to have 1583 farmers and fisherfolk (932 men – 47% of the EOP, 651 women – 33% of the EOP) within the landscape communities adopting appropriate agro-ecological/marine/coastal eco-systems-based technologies and systems. A breakdown by landscape/seascape and grant approved (see indicator 1) is provided hereunder:</w:t>
            </w:r>
          </w:p>
          <w:p w:rsidR="00D802A4" w:rsidRDefault="00D802A4" w14:paraId="34714122" w14:textId="77777777"/>
          <w:p w:rsidR="00D802A4" w:rsidRDefault="005650D6" w14:paraId="77DC8F30" w14:textId="77777777">
            <w:r>
              <w:t>1. Catubig Watershed: i) CAT-RG-002: 16 fisher/farmers (8 men, 8 women); ii) CAT-RG-006: 30 fisher/farmers (15 men, 15 women) would contribute to habitat restoration; iii) CAT-SG-001: 550 fisher/farmers (250 men, 300 women) would implement biodiversity friendly enterprises.</w:t>
            </w:r>
          </w:p>
          <w:p w:rsidR="00D802A4" w:rsidRDefault="00D802A4" w14:paraId="636E1C79" w14:textId="77777777"/>
          <w:p w:rsidR="00D802A4" w:rsidRDefault="005650D6" w14:paraId="12472759" w14:textId="77777777">
            <w:r>
              <w:t>2. CGI: i) CGI-RG-001: 110 fishers/farmers (80 men, 30 women) would implement forest protection activities; ii) CGI-RG-002: 50 fisher/farmers (25 men, 25 women) would establish sustainable farming practices’ model farms; iii) CGI-RG-011: 600 fishers/farmers (450 men, 150 women) would participate to the development of biodiversity-friendly enterprises; iv) CGI-SG-001: 50 fisher/farmers (50 women) would implement activities aiming at protecting MPAs within Siargao.</w:t>
            </w:r>
          </w:p>
          <w:p w:rsidR="00D802A4" w:rsidRDefault="00D802A4" w14:paraId="4EBD4F8E" w14:textId="77777777"/>
          <w:p w:rsidR="00D802A4" w:rsidRDefault="005650D6" w14:paraId="4FA1ECB3" w14:textId="77777777">
            <w:r>
              <w:t>3. SIPLAS: i) SIA-SG-001: 547 fisher/farmers (309 men, 238 women); ii) SIA-SG-003: 70 fisher/farmers (35 men, 35 women) would be supporting the establishment of model nature-based farms.</w:t>
            </w:r>
          </w:p>
          <w:p w:rsidR="00D802A4" w:rsidRDefault="00D802A4" w14:paraId="1202815F" w14:textId="77777777"/>
          <w:p w:rsidR="00D802A4" w:rsidRDefault="005650D6" w14:paraId="0529D409" w14:textId="77777777">
            <w:r>
              <w:t>4. Aurora Province: i) AUP-SG-002: 10 fisher/farmers (10 men) will establish and manage Community Integrated Natural Farming practices.</w:t>
            </w:r>
          </w:p>
          <w:p w:rsidR="00D802A4" w:rsidRDefault="00D802A4" w14:paraId="30B80B6D" w14:textId="77777777"/>
          <w:p w:rsidR="00D802A4" w:rsidRDefault="005650D6" w14:paraId="1F9B2A3E" w14:textId="77777777">
            <w:r>
              <w:t>During the upcoming reporting period, the remaining 39 grant proposals under review by both the PTRC and NSC will be evaluated and prioritized based on their potential contribution to this indicator EOP target.</w:t>
            </w:r>
          </w:p>
          <w:p w:rsidR="00D802A4" w:rsidRDefault="00D802A4" w14:paraId="1EB0579B" w14:textId="77777777"/>
          <w:p w:rsidR="00D802A4" w:rsidRDefault="005650D6" w14:paraId="6E1D88EF" w14:textId="77777777">
            <w:r>
              <w:t>All information above is supported by evidence  Annex 9 - Indicator 9 available at: https://dub.sh/PIMS6254-Annex9</w:t>
            </w:r>
          </w:p>
        </w:tc>
        <w:tc>
          <w:tcPr>
            <w:tcW w:w="4000" w:type="dxa"/>
            <w:noWrap/>
          </w:tcPr>
          <w:p w:rsidR="00D802A4" w:rsidRDefault="005650D6" w14:paraId="7E1B186E" w14:textId="77777777">
            <w:r>
              <w:t>Target achieved.</w:t>
            </w:r>
          </w:p>
          <w:p w:rsidR="00D802A4" w:rsidRDefault="00D802A4" w14:paraId="70852B78" w14:textId="77777777"/>
          <w:p w:rsidR="00D802A4" w:rsidRDefault="005650D6" w14:paraId="3FE19002" w14:textId="77777777">
            <w:r>
              <w:t>Cumulative progress as of 30 June 2025: A total of 5,253 farmers and fisherfolk (131.33% of the EOP target with 2,653 men (132.65% of EOP target) and 2,600 women (130% of EOP target) within the landscape communities have adopted appropriate agro-ecological, marine, or coastal ecosystem-based technologies and systems.</w:t>
            </w:r>
          </w:p>
          <w:p w:rsidR="00D802A4" w:rsidRDefault="00D802A4" w14:paraId="4B5E687B" w14:textId="77777777"/>
          <w:p w:rsidR="00D802A4" w:rsidRDefault="005650D6" w14:paraId="7FDB02A8" w14:textId="77777777">
            <w:r>
              <w:t>5 out of 17 grants contributed to this indicator, as follows:</w:t>
            </w:r>
          </w:p>
          <w:p w:rsidR="00D802A4" w:rsidRDefault="00D802A4" w14:paraId="1001EE48" w14:textId="77777777"/>
          <w:p w:rsidR="00D802A4" w:rsidRDefault="005650D6" w14:paraId="351EEE63" w14:textId="77777777">
            <w:r>
              <w:t>Aurora Province (100 people: 56 men, 44 women)</w:t>
            </w:r>
          </w:p>
          <w:p w:rsidR="00D802A4" w:rsidRDefault="005650D6" w14:paraId="7EAC2893" w14:textId="77777777">
            <w:r>
              <w:t>-</w:t>
            </w:r>
            <w:r>
              <w:tab/>
            </w:r>
            <w:r>
              <w:t>DETFAWAI’s interventions led 100 indigenous farmers to adopt agro-enterprise and community stewardship technologies, embedding agroforestry into local livelihoods by delivering targeted entrepreneurial and financial-literacy training, deputizing Bantay Gubat patrol teams as DENRO officers, and providing paralegal support and ensuring that on-farm tree planting and plot management became integrated components of village governance structures.</w:t>
            </w:r>
          </w:p>
          <w:p w:rsidR="00D802A4" w:rsidRDefault="00D802A4" w14:paraId="2D9D7CB9" w14:textId="77777777"/>
          <w:p w:rsidR="00D802A4" w:rsidRDefault="005650D6" w14:paraId="0DC69FA6" w14:textId="77777777">
            <w:r>
              <w:t>CGI (610 people: 320 men, 290 women)</w:t>
            </w:r>
          </w:p>
          <w:p w:rsidR="00D802A4" w:rsidRDefault="005650D6" w14:paraId="17E76000" w14:textId="77777777">
            <w:r>
              <w:t>-</w:t>
            </w:r>
            <w:r>
              <w:tab/>
            </w:r>
            <w:r>
              <w:t>Under the ReBuild Food Busuanga initiative, the CFR guided 50 participants in hands-on permaculture and syntropic-agroforestry training, resulting in functional 40 × 40 meter food-forest demonstration plots. Simultaneously, SSFA supported 560 farmers in transitioning to integrated food-forest and regenerative-farming systems, where each adopted mixed-tree–crop integration techniques—such as intercropping native fruit trees with annual vegetables—to enhance soil health and diversify farm outputs.</w:t>
            </w:r>
          </w:p>
          <w:p w:rsidR="00D802A4" w:rsidRDefault="005650D6" w14:paraId="225A986C" w14:textId="77777777">
            <w:r>
              <w:t>Catubig Watershed (600 people: 245 men, 355 women)</w:t>
            </w:r>
          </w:p>
          <w:p w:rsidR="00D802A4" w:rsidRDefault="005650D6" w14:paraId="08963876" w14:textId="77777777">
            <w:r>
              <w:t>-</w:t>
            </w:r>
            <w:r>
              <w:tab/>
            </w:r>
            <w:r>
              <w:t>SCPI facilitated the adoption of community-managed microfinance and biodiversity-friendly enterprise technologies by mobilizing VCTs across 20 barangays. Teams now run native-tree nurseries using swale raised beds, apply organic soil-amendment protocols, and leverage a village-level management information system (MIS) to link loan disbursements with biodiversity-monitoring data—transforming conservation actions into viable livelihood enterprises.</w:t>
            </w:r>
          </w:p>
          <w:p w:rsidR="00D802A4" w:rsidRDefault="00D802A4" w14:paraId="0600B673" w14:textId="77777777"/>
          <w:p w:rsidR="00D802A4" w:rsidRDefault="005650D6" w14:paraId="64641A5D" w14:textId="77777777">
            <w:r>
              <w:t>SIPLAS (3,943 people: 2,032 men, 1,911 women)</w:t>
            </w:r>
          </w:p>
          <w:p w:rsidR="00D802A4" w:rsidRDefault="005650D6" w14:paraId="6F5451A7" w14:textId="77777777">
            <w:r>
              <w:t>-</w:t>
            </w:r>
            <w:r>
              <w:tab/>
            </w:r>
            <w:r>
              <w:t>LKLLB enabled 3,943 coastal and upland farmers to adopt ecosystem-based agroforestry and coastal-management technologies under the PACBRMA framework. Producers are encouraged to incorporate contour-line mapping and permaculture layout design into farm planning—reinforced through peer-to-peer farm visits, structured monitoring calendars, and formal land-use compliance checks.</w:t>
            </w:r>
          </w:p>
        </w:tc>
      </w:tr>
      <w:tr w:rsidR="00D802A4" w14:paraId="48CDB2CF" w14:textId="77777777">
        <w:tc>
          <w:tcPr>
            <w:tcW w:w="4000" w:type="dxa"/>
            <w:noWrap/>
          </w:tcPr>
          <w:p w:rsidR="00D802A4" w:rsidRDefault="005650D6" w14:paraId="303A195B" w14:textId="77777777">
            <w:r>
              <w:rPr>
                <w:b/>
                <w:bCs/>
              </w:rPr>
              <w:t>The progress of the objective/outcome can be described as:</w:t>
            </w:r>
          </w:p>
        </w:tc>
        <w:tc>
          <w:tcPr>
            <w:tcW w:w="12000" w:type="dxa"/>
            <w:gridSpan w:val="5"/>
            <w:noWrap/>
          </w:tcPr>
          <w:p w:rsidR="00D802A4" w:rsidRDefault="005650D6" w14:paraId="3FEB8157" w14:textId="77777777">
            <w:r>
              <w:rPr>
                <w:b/>
                <w:bCs/>
              </w:rPr>
              <w:t>Achieved</w:t>
            </w:r>
          </w:p>
        </w:tc>
      </w:tr>
      <w:tr w:rsidR="00D802A4" w14:paraId="1E4008ED" w14:textId="77777777">
        <w:tc>
          <w:tcPr>
            <w:tcW w:w="4000" w:type="dxa"/>
            <w:noWrap/>
          </w:tcPr>
          <w:p w:rsidR="00D802A4" w:rsidRDefault="005650D6" w14:paraId="16517EA0" w14:textId="77777777">
            <w:r>
              <w:rPr>
                <w:b/>
                <w:bCs/>
              </w:rPr>
              <w:t>Evidence uploaded:</w:t>
            </w:r>
          </w:p>
        </w:tc>
        <w:tc>
          <w:tcPr>
            <w:tcW w:w="12000" w:type="dxa"/>
            <w:gridSpan w:val="5"/>
            <w:noWrap/>
          </w:tcPr>
          <w:p w:rsidR="00D802A4" w:rsidRDefault="005650D6" w14:paraId="4F738848" w14:textId="77777777">
            <w:r>
              <w:t>YES</w:t>
            </w:r>
          </w:p>
        </w:tc>
      </w:tr>
      <w:tr w:rsidR="00D802A4" w14:paraId="46C0D744" w14:textId="77777777">
        <w:tc>
          <w:tcPr>
            <w:tcW w:w="16000" w:type="dxa"/>
            <w:gridSpan w:val="6"/>
            <w:shd w:val="clear" w:color="auto" w:fill="D9D9D9"/>
            <w:noWrap/>
          </w:tcPr>
          <w:p w:rsidR="00D802A4" w:rsidRDefault="005650D6" w14:paraId="19A32C9D" w14:textId="77777777">
            <w:r>
              <w:rPr>
                <w:b/>
                <w:bCs/>
              </w:rPr>
              <w:t>Outcome 3</w:t>
            </w:r>
          </w:p>
          <w:p w:rsidR="00D802A4" w:rsidRDefault="005650D6" w14:paraId="23F34593" w14:textId="77777777">
            <w:r>
              <w:rPr>
                <w:b/>
                <w:bCs/>
              </w:rPr>
              <w:t>Outcome 1.3: Livelihoods of communities in the target landscapes and seascapes are improved by developing eco-friendly, climate-adaptive small-scale community enterprises with clear market linkages.                                                                                                                                                                                                                                                                                          Outputs to achieve Outcome: Outp</w:t>
            </w:r>
            <w:r>
              <w:rPr>
                <w:b/>
                <w:bCs/>
              </w:rPr>
              <w:t>ut 1.3.1. Targeted community projects promoting sustainable livelihoods, green businesses and market access, including ecotourism; and eco-processing and conversion of organic waste products; beekeeping; green value-added agro-businesses integrated into value chains, micro-processing.</w:t>
            </w:r>
          </w:p>
        </w:tc>
      </w:tr>
      <w:tr w:rsidR="00D802A4" w14:paraId="381AD98B" w14:textId="77777777">
        <w:tc>
          <w:tcPr>
            <w:tcW w:w="4000" w:type="dxa"/>
            <w:noWrap/>
          </w:tcPr>
          <w:p w:rsidR="00D802A4" w:rsidRDefault="005650D6" w14:paraId="6F0F34C0" w14:textId="77777777">
            <w:r>
              <w:rPr>
                <w:b/>
                <w:bCs/>
              </w:rPr>
              <w:t>Description of Indicator</w:t>
            </w:r>
          </w:p>
        </w:tc>
        <w:tc>
          <w:tcPr>
            <w:tcW w:w="2000" w:type="dxa"/>
            <w:noWrap/>
          </w:tcPr>
          <w:p w:rsidR="00D802A4" w:rsidRDefault="005650D6" w14:paraId="35679CEA" w14:textId="77777777">
            <w:r>
              <w:rPr>
                <w:b/>
                <w:bCs/>
              </w:rPr>
              <w:t>Baseline Level</w:t>
            </w:r>
          </w:p>
        </w:tc>
        <w:tc>
          <w:tcPr>
            <w:tcW w:w="2000" w:type="dxa"/>
            <w:noWrap/>
          </w:tcPr>
          <w:p w:rsidR="00D802A4" w:rsidRDefault="005650D6" w14:paraId="62FB9DE3" w14:textId="77777777">
            <w:r>
              <w:rPr>
                <w:b/>
                <w:bCs/>
              </w:rPr>
              <w:t>Midterm target level</w:t>
            </w:r>
          </w:p>
        </w:tc>
        <w:tc>
          <w:tcPr>
            <w:tcW w:w="2000" w:type="dxa"/>
            <w:noWrap/>
          </w:tcPr>
          <w:p w:rsidR="00D802A4" w:rsidRDefault="005650D6" w14:paraId="69E50858" w14:textId="77777777">
            <w:r>
              <w:rPr>
                <w:b/>
                <w:bCs/>
              </w:rPr>
              <w:t>End of project target level</w:t>
            </w:r>
          </w:p>
        </w:tc>
        <w:tc>
          <w:tcPr>
            <w:tcW w:w="4000" w:type="dxa"/>
            <w:noWrap/>
          </w:tcPr>
          <w:p w:rsidR="00D802A4" w:rsidRDefault="005650D6" w14:paraId="127E13FA" w14:textId="77777777">
            <w:r>
              <w:rPr>
                <w:b/>
                <w:bCs/>
              </w:rPr>
              <w:t>Level at Jun 30, 2024</w:t>
            </w:r>
          </w:p>
        </w:tc>
        <w:tc>
          <w:tcPr>
            <w:tcW w:w="4000" w:type="dxa"/>
            <w:noWrap/>
          </w:tcPr>
          <w:p w:rsidR="00D802A4" w:rsidRDefault="005650D6" w14:paraId="09D128E7" w14:textId="77777777">
            <w:r>
              <w:rPr>
                <w:b/>
                <w:bCs/>
              </w:rPr>
              <w:t>Cumulative progress since project start as of Jun 30, 2025</w:t>
            </w:r>
          </w:p>
        </w:tc>
      </w:tr>
      <w:tr w:rsidR="00D802A4" w14:paraId="1B617CA2" w14:textId="77777777">
        <w:tc>
          <w:tcPr>
            <w:tcW w:w="4000" w:type="dxa"/>
            <w:noWrap/>
          </w:tcPr>
          <w:p w:rsidR="00D802A4" w:rsidRDefault="005650D6" w14:paraId="7918891A" w14:textId="77777777">
            <w:r>
              <w:t>Indicator 10: Number of innovative value-added products generated by community projects practicing biodiversity conservation and agro-ecological resource management</w:t>
            </w:r>
          </w:p>
        </w:tc>
        <w:tc>
          <w:tcPr>
            <w:tcW w:w="2000" w:type="dxa"/>
            <w:noWrap/>
          </w:tcPr>
          <w:p w:rsidR="00D802A4" w:rsidRDefault="005650D6" w14:paraId="3D50A1F5" w14:textId="77777777">
            <w:r>
              <w:t>5</w:t>
            </w:r>
          </w:p>
        </w:tc>
        <w:tc>
          <w:tcPr>
            <w:tcW w:w="2000" w:type="dxa"/>
            <w:noWrap/>
          </w:tcPr>
          <w:p w:rsidR="00D802A4" w:rsidRDefault="005650D6" w14:paraId="5962030D" w14:textId="77777777">
            <w:r>
              <w:t>10</w:t>
            </w:r>
          </w:p>
        </w:tc>
        <w:tc>
          <w:tcPr>
            <w:tcW w:w="2000" w:type="dxa"/>
            <w:noWrap/>
          </w:tcPr>
          <w:p w:rsidR="00D802A4" w:rsidRDefault="005650D6" w14:paraId="201BFBC4" w14:textId="77777777">
            <w:r>
              <w:t>30</w:t>
            </w:r>
          </w:p>
        </w:tc>
        <w:tc>
          <w:tcPr>
            <w:tcW w:w="4000" w:type="dxa"/>
            <w:noWrap/>
          </w:tcPr>
          <w:p w:rsidR="00D802A4" w:rsidRDefault="005650D6" w14:paraId="6C965336" w14:textId="77777777">
            <w:r>
              <w:t>Target on track.</w:t>
            </w:r>
          </w:p>
          <w:p w:rsidR="00D802A4" w:rsidRDefault="00D802A4" w14:paraId="5E03239E" w14:textId="77777777"/>
          <w:p w:rsidR="00D802A4" w:rsidRDefault="005650D6" w14:paraId="397A5EE8" w14:textId="77777777">
            <w:r>
              <w:t>Cumulative progress as of 30 June 2024: 0 innovative value-added products generated by community projects practicing biodiversity conservation and agro-ecological resource management (0% of the EOP target).</w:t>
            </w:r>
          </w:p>
          <w:p w:rsidR="00D802A4" w:rsidRDefault="00D802A4" w14:paraId="2697C373" w14:textId="77777777"/>
          <w:p w:rsidR="00D802A4" w:rsidRDefault="005650D6" w14:paraId="2731CC19" w14:textId="77777777">
            <w:r>
              <w:t>While no grant proposals were approved during the reporting period, 6 out of the 11 grant proposals expected to be approved by the NSC in the next reporting period (see indicator 1) are foreseen to yield the generation of 24 innovative value-added products (80% of the EOP target). A breakdown by landscape/seascape and grant approved (see indicator 1) is provided hereunder:</w:t>
            </w:r>
          </w:p>
          <w:p w:rsidR="00D802A4" w:rsidRDefault="00D802A4" w14:paraId="3C6FB333" w14:textId="77777777"/>
          <w:p w:rsidR="00D802A4" w:rsidRDefault="005650D6" w14:paraId="243A7662" w14:textId="77777777">
            <w:r>
              <w:t>1. Catubig Watershed: i) CAT-RG-002: three (3) innovative value-added products including 2 handicraft products (nigo, salakot) and one (1) processed agricultural product (igot wine); ii) CAT-SG-001: ten (10) innovative value-added products per community through the Community Foodhouse (CFH) system.</w:t>
            </w:r>
          </w:p>
          <w:p w:rsidR="00D802A4" w:rsidRDefault="00D802A4" w14:paraId="71DC52AF" w14:textId="77777777"/>
          <w:p w:rsidR="00D802A4" w:rsidRDefault="005650D6" w14:paraId="2C5CEF8C" w14:textId="77777777">
            <w:r>
              <w:t>2. CGI: i) CGI-RG-011: four (4) innovative value-added products such as post-harvest fish products, ecotourism, seaweeds production; ii) CGI-SG-001: two (2) innovative value-added products from food sources of IP communities (locally termed silipeten).</w:t>
            </w:r>
          </w:p>
          <w:p w:rsidR="00D802A4" w:rsidRDefault="00D802A4" w14:paraId="045E9DF6" w14:textId="77777777"/>
          <w:p w:rsidR="00D802A4" w:rsidRDefault="005650D6" w14:paraId="3CDEA083" w14:textId="77777777">
            <w:r>
              <w:t>3. SIPLAS: i) SIA-SG-001: two (2) innovative value-added products on biodiversity and agrobiodiversity products.</w:t>
            </w:r>
          </w:p>
          <w:p w:rsidR="00D802A4" w:rsidRDefault="00D802A4" w14:paraId="43C099A1" w14:textId="77777777"/>
          <w:p w:rsidR="00D802A4" w:rsidRDefault="005650D6" w14:paraId="4ED29FBC" w14:textId="77777777">
            <w:r>
              <w:t>4. Aurora Province: i) AUP-SG-002: three (3) innovative value-added products which could include sustainable livelihoods, green businesses and market access, including ecotourism; ecological processing and conversion of organic waste products; beekeeping; green value-added agro-businesses.</w:t>
            </w:r>
          </w:p>
          <w:p w:rsidR="00D802A4" w:rsidRDefault="00D802A4" w14:paraId="0146DEDF" w14:textId="77777777"/>
          <w:p w:rsidR="00D802A4" w:rsidRDefault="005650D6" w14:paraId="16E0AFE3" w14:textId="77777777">
            <w:r>
              <w:t>During the upcoming reporting period, the remaining 39 grant proposals under review by both the PTRC and NSC will be evaluated and prioritized based on their potential contribution to this indicator EOP target.</w:t>
            </w:r>
          </w:p>
          <w:p w:rsidR="00D802A4" w:rsidRDefault="00D802A4" w14:paraId="44C844A6" w14:textId="77777777"/>
          <w:p w:rsidR="00D802A4" w:rsidRDefault="005650D6" w14:paraId="51FE6796" w14:textId="77777777">
            <w:r>
              <w:t>All information above is supported by evidence Annex 10 - Indicator 10 available at: https://dub.sh/PIMS6254-Annex10</w:t>
            </w:r>
          </w:p>
        </w:tc>
        <w:tc>
          <w:tcPr>
            <w:tcW w:w="4000" w:type="dxa"/>
            <w:noWrap/>
          </w:tcPr>
          <w:p w:rsidR="00D802A4" w:rsidRDefault="005650D6" w14:paraId="27D8CE78" w14:textId="77777777">
            <w:r>
              <w:t>Target on track.</w:t>
            </w:r>
          </w:p>
          <w:p w:rsidR="00D802A4" w:rsidRDefault="00D802A4" w14:paraId="4375976D" w14:textId="77777777"/>
          <w:p w:rsidR="00D802A4" w:rsidRDefault="005650D6" w14:paraId="113F1587" w14:textId="77777777">
            <w:r>
              <w:t>Cumulative progress as of 30 June 2025: 7 innovative value-added products generated by community projects practicing biodiversity conservation and agro-ecological resource management (23.33% of the EOP target).</w:t>
            </w:r>
          </w:p>
          <w:p w:rsidR="00D802A4" w:rsidRDefault="00D802A4" w14:paraId="3C29A938" w14:textId="77777777"/>
          <w:p w:rsidR="00D802A4" w:rsidRDefault="005650D6" w14:paraId="254DA6A2" w14:textId="77777777">
            <w:r>
              <w:t>In Aurora Province, DETFAWAI, led by the Egongot Tribe, successfully developed seven value-added products using sustainably harvested “sabutan,” a native plant integral to their cultural and ecological landscape. These products included the following:</w:t>
            </w:r>
          </w:p>
          <w:p w:rsidR="00D802A4" w:rsidRDefault="005650D6" w14:paraId="2EFE4DCC" w14:textId="77777777">
            <w:r>
              <w:t>-</w:t>
            </w:r>
            <w:r>
              <w:tab/>
            </w:r>
            <w:r>
              <w:t>handwoven fans</w:t>
            </w:r>
          </w:p>
          <w:p w:rsidR="00D802A4" w:rsidRDefault="005650D6" w14:paraId="6CFB66BF" w14:textId="77777777">
            <w:r>
              <w:t>-</w:t>
            </w:r>
            <w:r>
              <w:tab/>
            </w:r>
            <w:r>
              <w:t>handwoven bags</w:t>
            </w:r>
          </w:p>
          <w:p w:rsidR="00D802A4" w:rsidRDefault="005650D6" w14:paraId="03A18CD9" w14:textId="77777777">
            <w:r>
              <w:t>-</w:t>
            </w:r>
            <w:r>
              <w:tab/>
            </w:r>
            <w:r>
              <w:t>handwoven hats</w:t>
            </w:r>
          </w:p>
          <w:p w:rsidR="00D802A4" w:rsidRDefault="005650D6" w14:paraId="67A5240A" w14:textId="77777777">
            <w:r>
              <w:t>-</w:t>
            </w:r>
            <w:r>
              <w:tab/>
            </w:r>
            <w:r>
              <w:t>handwoven placemats</w:t>
            </w:r>
          </w:p>
          <w:p w:rsidR="00D802A4" w:rsidRDefault="005650D6" w14:paraId="45649136" w14:textId="77777777">
            <w:r>
              <w:t>-</w:t>
            </w:r>
            <w:r>
              <w:tab/>
            </w:r>
            <w:r>
              <w:t>handwoven organizers</w:t>
            </w:r>
          </w:p>
          <w:p w:rsidR="00D802A4" w:rsidRDefault="005650D6" w14:paraId="3E23AEF1" w14:textId="77777777">
            <w:r>
              <w:t>-</w:t>
            </w:r>
            <w:r>
              <w:tab/>
            </w:r>
            <w:r>
              <w:t>handwoven mats/wall decors</w:t>
            </w:r>
          </w:p>
          <w:p w:rsidR="00D802A4" w:rsidRDefault="005650D6" w14:paraId="79FB23B9" w14:textId="77777777">
            <w:r>
              <w:t>-</w:t>
            </w:r>
            <w:r>
              <w:tab/>
            </w:r>
            <w:r>
              <w:t>handwoven slippers</w:t>
            </w:r>
          </w:p>
          <w:p w:rsidR="00D802A4" w:rsidRDefault="005650D6" w14:paraId="329657AF" w14:textId="77777777">
            <w:r>
              <w:t>These products showcase the community’s commitment to biodiversity-friendly livelihoods rooted in traditional knowledge and resource stewardship.</w:t>
            </w:r>
          </w:p>
          <w:p w:rsidR="00D802A4" w:rsidRDefault="00D802A4" w14:paraId="4CAEA892" w14:textId="77777777"/>
          <w:p w:rsidR="00D802A4" w:rsidRDefault="005650D6" w14:paraId="6385B444" w14:textId="77777777">
            <w:r>
              <w:t>This target will likely increase in the next reporting period as other approved grants are still working on various products that will have innovative value-added. Based on the submitted and approved grants, there are at least 48 other innovative products that will be developed and implemented by at least 10 approved grantees that will promote agro-ecological resource management. These planned products include organic farm produce, handicrafts, and processed food, among others.</w:t>
            </w:r>
          </w:p>
        </w:tc>
      </w:tr>
      <w:tr w:rsidR="00D802A4" w14:paraId="2FDBAEB1" w14:textId="77777777">
        <w:tc>
          <w:tcPr>
            <w:tcW w:w="4000" w:type="dxa"/>
            <w:noWrap/>
          </w:tcPr>
          <w:p w:rsidR="00D802A4" w:rsidRDefault="005650D6" w14:paraId="05F703DC" w14:textId="77777777">
            <w:r>
              <w:t>Indicator 11: Number of biodiversity-friendly, climate-resilient community initiatives upgraded to profitable enterprises supported by grants</w:t>
            </w:r>
          </w:p>
          <w:p w:rsidR="00D802A4" w:rsidRDefault="00D802A4" w14:paraId="705BBA74" w14:textId="77777777"/>
        </w:tc>
        <w:tc>
          <w:tcPr>
            <w:tcW w:w="2000" w:type="dxa"/>
            <w:noWrap/>
          </w:tcPr>
          <w:p w:rsidR="00D802A4" w:rsidRDefault="005650D6" w14:paraId="0A0CE270" w14:textId="77777777">
            <w:r>
              <w:t>0</w:t>
            </w:r>
          </w:p>
        </w:tc>
        <w:tc>
          <w:tcPr>
            <w:tcW w:w="2000" w:type="dxa"/>
            <w:noWrap/>
          </w:tcPr>
          <w:p w:rsidR="00D802A4" w:rsidRDefault="005650D6" w14:paraId="2B57A48D" w14:textId="77777777">
            <w:r>
              <w:t>1</w:t>
            </w:r>
          </w:p>
        </w:tc>
        <w:tc>
          <w:tcPr>
            <w:tcW w:w="2000" w:type="dxa"/>
            <w:noWrap/>
          </w:tcPr>
          <w:p w:rsidR="00D802A4" w:rsidRDefault="005650D6" w14:paraId="5C508219" w14:textId="77777777">
            <w:r>
              <w:t>5</w:t>
            </w:r>
          </w:p>
          <w:p w:rsidR="00D802A4" w:rsidRDefault="005650D6" w14:paraId="179BE0DC" w14:textId="77777777">
            <w:r>
              <w:t>At least two of which are female-led</w:t>
            </w:r>
          </w:p>
          <w:p w:rsidR="00D802A4" w:rsidRDefault="00D802A4" w14:paraId="520E215A" w14:textId="77777777"/>
        </w:tc>
        <w:tc>
          <w:tcPr>
            <w:tcW w:w="4000" w:type="dxa"/>
            <w:noWrap/>
          </w:tcPr>
          <w:p w:rsidR="00D802A4" w:rsidRDefault="005650D6" w14:paraId="032253D7" w14:textId="77777777">
            <w:r>
              <w:t>Target on track.</w:t>
            </w:r>
          </w:p>
          <w:p w:rsidR="00D802A4" w:rsidRDefault="00D802A4" w14:paraId="56F6FFEC" w14:textId="77777777"/>
          <w:p w:rsidR="00D802A4" w:rsidRDefault="005650D6" w14:paraId="5CC4F001" w14:textId="77777777">
            <w:r>
              <w:t>Cumulative progress as of 30 June 2024: 0 biodiversity-friendly, climate-resilient community initiatives upgraded to profitable enterprises supported by grants (0% of the EOP target).</w:t>
            </w:r>
          </w:p>
          <w:p w:rsidR="00D802A4" w:rsidRDefault="00D802A4" w14:paraId="0A383D18" w14:textId="77777777"/>
          <w:p w:rsidR="00D802A4" w:rsidRDefault="005650D6" w14:paraId="2A8C7652" w14:textId="77777777">
            <w:r>
              <w:t>While no grant proposals were approved during the reporting period, 10 of the 11 grant proposals expected to be approved by the NSC in the next reporting period (see indicator 1) are foreseen to yield 10 biodiversity-friendly, climate resilience community initiatives updated to profitable enterprises, of which 10 are female-lead (500 % of the EOP target). A breakdown by landscape/seascape and grant approved (see indicator 1) is provided hereunder:</w:t>
            </w:r>
          </w:p>
          <w:p w:rsidR="00D802A4" w:rsidRDefault="00D802A4" w14:paraId="69A3EEE5" w14:textId="77777777"/>
          <w:p w:rsidR="00D802A4" w:rsidRDefault="005650D6" w14:paraId="5110AF7E" w14:textId="77777777">
            <w:r>
              <w:t>1. Catubig Watershed: i) CAT-RG-002 through production farm and one (1) cottage industry/Initiative per CBO; ii) CAT-SG-001 through the formation of Biodiversity Conservation Advocates Savings and Loan Associations (BASLA), and Biodiversity Learning Site/Community Foodhouse (BLS-CFH)</w:t>
            </w:r>
          </w:p>
          <w:p w:rsidR="00D802A4" w:rsidRDefault="00D802A4" w14:paraId="0829489F" w14:textId="77777777"/>
          <w:p w:rsidR="00D802A4" w:rsidRDefault="005650D6" w14:paraId="32D3B90E" w14:textId="77777777">
            <w:r>
              <w:t>2. CGI: i) CGI-RG-001 through Water Recharge, Retention, and Reuse (3R) Technology; i) CGI-RG-002 through Food Forest; iii) CGI-RG-011 through climate resilient enterprise for 8 Fisher Associations; iv) CGI-SG-001 through providing strengthened their capacity for lobbying skills and networking with three local government units of Busuanga, Coron, and Culion, and with private and business sectors, academe and media for multi-stakeholder engagement (MSE).</w:t>
            </w:r>
          </w:p>
          <w:p w:rsidR="00D802A4" w:rsidRDefault="00D802A4" w14:paraId="7F6F17E3" w14:textId="77777777"/>
          <w:p w:rsidR="00D802A4" w:rsidRDefault="005650D6" w14:paraId="63F45C72" w14:textId="77777777">
            <w:r>
              <w:t>3. SIPLAS: i) SIA-RG-002 through A.T.E. Atelier, Kid's Club, and Eco Shop; ii) SIA-SG-001 through Friendly Agricultural Practices (BDFAP) in the establishment of demonstration site for agri-tourism and ensure the availability of vegetables and other agricultural products in the locality; iii) SIA-SG-003 through nature-based farm per pilot site, which include high-valued crops and others.</w:t>
            </w:r>
          </w:p>
          <w:p w:rsidR="00D802A4" w:rsidRDefault="00D802A4" w14:paraId="308B5A5B" w14:textId="77777777"/>
          <w:p w:rsidR="00D802A4" w:rsidRDefault="005650D6" w14:paraId="6D161FD6" w14:textId="77777777">
            <w:r>
              <w:t>4. Aurora Province</w:t>
            </w:r>
          </w:p>
          <w:p w:rsidR="00D802A4" w:rsidRDefault="005650D6" w14:paraId="04D0393A" w14:textId="77777777">
            <w:r>
              <w:t>i) AUP-SG-002 through engagement of at least four (4) communities in promoting sustainable eco-friendly enterprises and integrated into value chains with improved incomes.P-SG-002 through engagement of at least four (4) communities in promoting sustainable eco-friendly enterprises and integrated into value chains with improved incomes.P-SG-002 through engagement of at least four (4) communities in promoting sustainable eco-friendly enterprises and integrated into value chains with improved incomes.</w:t>
            </w:r>
          </w:p>
          <w:p w:rsidR="00D802A4" w:rsidRDefault="00D802A4" w14:paraId="43300983" w14:textId="77777777"/>
          <w:p w:rsidR="00D802A4" w:rsidRDefault="005650D6" w14:paraId="24E9BD35" w14:textId="77777777">
            <w:r>
              <w:t>All information above is supported by evidence Annex 11 - Indicator 11 available at: https://dub.sh/PIMS6254-Annex11</w:t>
            </w:r>
          </w:p>
        </w:tc>
        <w:tc>
          <w:tcPr>
            <w:tcW w:w="4000" w:type="dxa"/>
            <w:noWrap/>
          </w:tcPr>
          <w:p w:rsidR="00D802A4" w:rsidRDefault="005650D6" w14:paraId="360C7332" w14:textId="77777777">
            <w:r>
              <w:t>Target on track.</w:t>
            </w:r>
          </w:p>
          <w:p w:rsidR="00D802A4" w:rsidRDefault="00D802A4" w14:paraId="16AC0FF2" w14:textId="77777777"/>
          <w:p w:rsidR="00D802A4" w:rsidRDefault="005650D6" w14:paraId="61EC7507" w14:textId="77777777">
            <w:r>
              <w:t>Cumulative progress as of 30 June 2025: One biodiversity-friendly, climate-resilient community initiative has been upgraded into a grant-supported, profitable enterprise, of which one is female-led (20% of the EOP Target).</w:t>
            </w:r>
          </w:p>
          <w:p w:rsidR="00D802A4" w:rsidRDefault="00D802A4" w14:paraId="47527DA3" w14:textId="77777777"/>
          <w:p w:rsidR="00D802A4" w:rsidRDefault="00D802A4" w14:paraId="42AAA5DD" w14:textId="77777777"/>
          <w:p w:rsidR="00D802A4" w:rsidRDefault="005650D6" w14:paraId="27A9EC59" w14:textId="77777777">
            <w:r>
              <w:t>During this reporting period, DETFAWAI’s sabutan handicraft enterprise exemplifies these principles by transforming understory palm fiber or sabutan into value-added products, creating a direct economic incentive to preserve native forest stands rather than clear them for agriculture. Harvesting sabutan doesn’t require burning or clear-cutting, thereby maintaining shade-tolerant biodiversity and carbon stocks. The volunteer Bantay Gubat network—trained and deputized alongside DENR—enforces sustainable colle</w:t>
            </w:r>
            <w:r>
              <w:t>ction practices grounded in traditional ecological knowledge, while business-management training links craftsmanship to formal enterprise development. DETFAWAI is a potential candidate for grants under UNDP’s NatureNest Accelerator Program.  NatureNest Accelerator aims to enhance the growth of nature-based enterprises that strengthen community involvement in climate resilience in the Philippines. Through capacity building, tailored coaching, and improved access to capital, the program supports enterprises i</w:t>
            </w:r>
            <w:r>
              <w:t>n developing sustainable business models, preparing to unlock financing, and deepening their nature-positive impact. DETFAWAI’s initiatives align well with the program’s objectives, making it a promising prospect.</w:t>
            </w:r>
          </w:p>
          <w:p w:rsidR="00D802A4" w:rsidRDefault="00D802A4" w14:paraId="3CDCDCBD" w14:textId="77777777"/>
          <w:p w:rsidR="00D802A4" w:rsidRDefault="005650D6" w14:paraId="000D004D" w14:textId="77777777">
            <w:r>
              <w:t>There are eight other approved grants that have targeted profitable enterprises and they are expected to produce at least 12 other biodiversity-friendly products, which shall be reported in the next reporting period. These products will include community-based ecotourism, food processing and production, and products from non-timber forest products, among others. These grantees are still conducting resource assessment and feasibility studies on the potential products they have identified in their proposals.</w:t>
            </w:r>
          </w:p>
          <w:p w:rsidR="00D802A4" w:rsidRDefault="00D802A4" w14:paraId="0DD141F3" w14:textId="77777777"/>
        </w:tc>
      </w:tr>
      <w:tr w:rsidR="00D802A4" w14:paraId="48BA7298" w14:textId="77777777">
        <w:tc>
          <w:tcPr>
            <w:tcW w:w="4000" w:type="dxa"/>
            <w:noWrap/>
          </w:tcPr>
          <w:p w:rsidR="00D802A4" w:rsidRDefault="005650D6" w14:paraId="19C99244" w14:textId="77777777">
            <w:r>
              <w:t>Indicator 12: Number of projects that target socio-economic benefits and services for women</w:t>
            </w:r>
          </w:p>
        </w:tc>
        <w:tc>
          <w:tcPr>
            <w:tcW w:w="2000" w:type="dxa"/>
            <w:noWrap/>
          </w:tcPr>
          <w:p w:rsidR="00D802A4" w:rsidRDefault="005650D6" w14:paraId="64FCF376" w14:textId="77777777">
            <w:r>
              <w:t>unknown</w:t>
            </w:r>
          </w:p>
        </w:tc>
        <w:tc>
          <w:tcPr>
            <w:tcW w:w="2000" w:type="dxa"/>
            <w:noWrap/>
          </w:tcPr>
          <w:p w:rsidR="00D802A4" w:rsidRDefault="005650D6" w14:paraId="5714D344" w14:textId="77777777">
            <w:r>
              <w:t>At least 5</w:t>
            </w:r>
          </w:p>
        </w:tc>
        <w:tc>
          <w:tcPr>
            <w:tcW w:w="2000" w:type="dxa"/>
            <w:noWrap/>
          </w:tcPr>
          <w:p w:rsidR="00D802A4" w:rsidRDefault="005650D6" w14:paraId="54F9AE52" w14:textId="77777777">
            <w:r>
              <w:t>At least 15</w:t>
            </w:r>
          </w:p>
        </w:tc>
        <w:tc>
          <w:tcPr>
            <w:tcW w:w="4000" w:type="dxa"/>
            <w:noWrap/>
          </w:tcPr>
          <w:p w:rsidR="00D802A4" w:rsidRDefault="005650D6" w14:paraId="09A158BC" w14:textId="77777777">
            <w:r>
              <w:t>Target on track.</w:t>
            </w:r>
          </w:p>
          <w:p w:rsidR="00D802A4" w:rsidRDefault="00D802A4" w14:paraId="0DD5C8B7" w14:textId="77777777"/>
          <w:p w:rsidR="00D802A4" w:rsidRDefault="005650D6" w14:paraId="5D81D298" w14:textId="77777777">
            <w:r>
              <w:t>Cumulative progress as of 30 June 2024: 0 projects that target socio-economic benefits and services for women (0% of the EOP target).</w:t>
            </w:r>
          </w:p>
          <w:p w:rsidR="00D802A4" w:rsidRDefault="00D802A4" w14:paraId="5879014F" w14:textId="77777777"/>
          <w:p w:rsidR="00D802A4" w:rsidRDefault="005650D6" w14:paraId="353429B6" w14:textId="77777777">
            <w:r>
              <w:t>While no project has been approved yet as of this reporting period, the 11 proposals expected to be approved by the NSC in the next reporting period (see indicator 1) are foreseen to target socio-economic benefits and services for women (73% of the EOP target), involving 9,191 men and  9,915 women, totaling 19,106 participants. A breakdown by landscape/seascape and grant approved (see indicator 1) is provided hereunder:</w:t>
            </w:r>
          </w:p>
          <w:p w:rsidR="00D802A4" w:rsidRDefault="00D802A4" w14:paraId="2D31082E" w14:textId="77777777"/>
          <w:p w:rsidR="00D802A4" w:rsidRDefault="005650D6" w14:paraId="4D13971D" w14:textId="77777777">
            <w:r>
              <w:t>1. Catubig Watershed: i) CAT-RG-002 involves 157 women of 315 total participants (50% women participation) – it will target socio-economic benefits and services for women through their engagement in rehabilitation, protection, and management of the Hagbay sub-watershed forest; ii) CAT-RG-006 involves 899 women of 1816 total participants (50% women participation) who will be involved in integration of information and education on watershed management, biodiversity, ecosystem services, sanitation, and health;</w:t>
            </w:r>
            <w:r>
              <w:t xml:space="preserve"> iii) CAT-SG-001 involves 400 women of 1,000 total participants (40% women participation) who will benefit from savings and loans association as well as the Biodiversity Learning Site/Community Foodhouse.</w:t>
            </w:r>
          </w:p>
          <w:p w:rsidR="00D802A4" w:rsidRDefault="00D802A4" w14:paraId="03991B8A" w14:textId="77777777"/>
          <w:p w:rsidR="00D802A4" w:rsidRDefault="005650D6" w14:paraId="23C2351B" w14:textId="77777777">
            <w:r>
              <w:t>2. CGI: i) CGI-RG-001 involves 1,118 women of 2,331 total participants (48% women participation) who will be included in activities related to LCA management committee; ii) CGI-RG-002 involves 244 women of 509 total participants (48% women participation) through their involvement in livelihood activities through establishment of food forest; iii) CGI-RG-011 involves 250 women of 700 total participants (36% women participation) who will promote women’s participation in conservation enterprises including fish</w:t>
            </w:r>
            <w:r>
              <w:t>ery related activities; iv) CGI-SG-001 involves 205 women of 410 total participants (50% women participation) who will be empowered in developing biodiversity-friendly enterprises.</w:t>
            </w:r>
          </w:p>
          <w:p w:rsidR="00D802A4" w:rsidRDefault="00D802A4" w14:paraId="6C7C1A95" w14:textId="77777777"/>
          <w:p w:rsidR="00D802A4" w:rsidRDefault="005650D6" w14:paraId="7014B4CC" w14:textId="77777777">
            <w:r>
              <w:t>3. SIPLAS: i) SIA-RG-002 involves 1,558 women of 2,614 total participants (60% women participation) who will benefit from livelihood opportunities; ii) SIA-SG-001 involves 341 women of 675 total participants (51% women participation) through their involvement in sustainable agricultural activities; iii) SIA-SG-003 involves 2,038 women of 4,236 total participants (48% women participation) who will benefit from livelihood activities.</w:t>
            </w:r>
          </w:p>
          <w:p w:rsidR="00D802A4" w:rsidRDefault="00D802A4" w14:paraId="6568DAE3" w14:textId="77777777"/>
          <w:p w:rsidR="00D802A4" w:rsidRDefault="005650D6" w14:paraId="02A21C26" w14:textId="77777777">
            <w:r>
              <w:t>4. Aurora Province: i) AUP-SG-002 involves 2705 women of 4,500 total participants (60% women participation) who will benefit from the establishment of a maternal reserve and a maternal kitchen, recognizing mothers' critical role in providing balanced and nutritious meals for their families, especially during pregnancy and lactation.</w:t>
            </w:r>
          </w:p>
          <w:p w:rsidR="00D802A4" w:rsidRDefault="00D802A4" w14:paraId="201E7D94" w14:textId="77777777"/>
          <w:p w:rsidR="00D802A4" w:rsidRDefault="005650D6" w14:paraId="4CC44AD8" w14:textId="77777777">
            <w:r>
              <w:t xml:space="preserve">During the upcoming reporting period, the remaining 39 grant proposals </w:t>
            </w:r>
            <w:r>
              <w:t>under review by both the PTRC and NSC will be evaluated and prioritized based on their potential contribution to this indicator EOP target.</w:t>
            </w:r>
          </w:p>
          <w:p w:rsidR="00D802A4" w:rsidRDefault="00D802A4" w14:paraId="2178142A" w14:textId="77777777"/>
          <w:p w:rsidR="00D802A4" w:rsidRDefault="005650D6" w14:paraId="16AA64FB" w14:textId="77777777">
            <w:r>
              <w:t>All information above is supported by evidence Annex 12 - Indicator 12 available at: https://dub.sh/PIMS6254-Annex12</w:t>
            </w:r>
          </w:p>
        </w:tc>
        <w:tc>
          <w:tcPr>
            <w:tcW w:w="4000" w:type="dxa"/>
            <w:noWrap/>
          </w:tcPr>
          <w:p w:rsidR="00D802A4" w:rsidRDefault="005650D6" w14:paraId="21F09CDE" w14:textId="77777777">
            <w:r>
              <w:t>Target on track.</w:t>
            </w:r>
          </w:p>
          <w:p w:rsidR="00D802A4" w:rsidRDefault="00D802A4" w14:paraId="26BEC685" w14:textId="77777777"/>
          <w:p w:rsidR="00D802A4" w:rsidRDefault="005650D6" w14:paraId="7FD295EF" w14:textId="77777777">
            <w:r>
              <w:t>Cumulative progress as of 30 June 2025: 14 out of 45 approved grants target socio-economic benefits and services for women (93.33% of the EOP target).</w:t>
            </w:r>
          </w:p>
          <w:p w:rsidR="00D802A4" w:rsidRDefault="00D802A4" w14:paraId="4CCEE5D0" w14:textId="77777777"/>
          <w:p w:rsidR="00D802A4" w:rsidRDefault="005650D6" w14:paraId="38533D4C" w14:textId="77777777">
            <w:r>
              <w:t>The EOP target is likely to be achieved in the next reporting period once other approved grants are implemented.</w:t>
            </w:r>
          </w:p>
          <w:p w:rsidR="00D802A4" w:rsidRDefault="00D802A4" w14:paraId="6C635330" w14:textId="77777777"/>
          <w:p w:rsidR="00D802A4" w:rsidRDefault="005650D6" w14:paraId="397B5CB0" w14:textId="77777777">
            <w:r>
              <w:t>These initiatives span the four landscapes: one in Aurora province, six in CGI, five in the Catubig Watershed, and two in SIPLAS, with focused support on enhancing women’s access to sustainable livelihoods, natural resource governance roles, conservation-linked services, and tenure or resource rights. Specifically, the following accomplishments were noted per landscape:</w:t>
            </w:r>
          </w:p>
          <w:p w:rsidR="00D802A4" w:rsidRDefault="005650D6" w14:paraId="4C9F9657" w14:textId="77777777">
            <w:r>
              <w:t>Aurora Province- 1 Project</w:t>
            </w:r>
          </w:p>
          <w:p w:rsidR="00D802A4" w:rsidRDefault="005650D6" w14:paraId="21576F9C" w14:textId="77777777">
            <w:r>
              <w:t>-</w:t>
            </w:r>
            <w:r>
              <w:tab/>
            </w:r>
            <w:r>
              <w:t>DETFWAI provided socio-economic benefits for women by engaging them in sabutan-based livelihoods, particularly through the production and processing of handicrafts. Women were trained and mobilized in harvesting, weaving, and marketing sabutan products, which enhanced both their household incomes and their active role in managing and conserving the ancestral domain's non-timber forest resources</w:t>
            </w:r>
          </w:p>
          <w:p w:rsidR="00D802A4" w:rsidRDefault="005650D6" w14:paraId="32616BA5" w14:textId="77777777">
            <w:r>
              <w:t>Calamian Group of Islands-6 Projects</w:t>
            </w:r>
          </w:p>
          <w:p w:rsidR="00D802A4" w:rsidRDefault="005650D6" w14:paraId="5E6B66B7" w14:textId="77777777">
            <w:r>
              <w:t>-</w:t>
            </w:r>
            <w:r>
              <w:tab/>
            </w:r>
            <w:r>
              <w:t>CFI facilitated registration caravans that enabled 18 fisherwomen  to formalize their access to fishery resources and enrolled 100 women (50 IPs and 50 non-IPs) in micro-insurance schemes to protect their incomes from climate and health-related shocks.</w:t>
            </w:r>
          </w:p>
          <w:p w:rsidR="00D802A4" w:rsidRDefault="005650D6" w14:paraId="59506926" w14:textId="77777777">
            <w:r>
              <w:t>-</w:t>
            </w:r>
            <w:r>
              <w:tab/>
            </w:r>
            <w:r>
              <w:t>C3 Philippines provided digital literacy and financial management training to 25 POs representatives, including 13 women. This strengthened women’s capacity to lead conservation-linked enterprises and access funding for marine resource protection.</w:t>
            </w:r>
          </w:p>
          <w:p w:rsidR="00D802A4" w:rsidRDefault="005650D6" w14:paraId="7CDEBB81" w14:textId="77777777">
            <w:r>
              <w:t>-</w:t>
            </w:r>
            <w:r>
              <w:tab/>
            </w:r>
            <w:r>
              <w:t>CFR trained 31 women in agroforestry techniques, nursery management, and food forest design across 50 sites. These women now manage climate-resilient farms that blend biodiversity conservation with food production, improving household nutrition, income, and ecological awareness.</w:t>
            </w:r>
          </w:p>
          <w:p w:rsidR="00D802A4" w:rsidRDefault="005650D6" w14:paraId="07CC48DD" w14:textId="77777777">
            <w:r>
              <w:t>-</w:t>
            </w:r>
            <w:r>
              <w:tab/>
            </w:r>
            <w:r>
              <w:t>SBRWSA integrated 18  women into the planning of water infrastructure upgrades and disaster preparedness governance. Their participation ensures that gender-specific needs are considered in managing and protecting communal resources such as watersheds and springs.</w:t>
            </w:r>
          </w:p>
          <w:p w:rsidR="00D802A4" w:rsidRDefault="005650D6" w14:paraId="431409A5" w14:textId="77777777">
            <w:r>
              <w:t>-</w:t>
            </w:r>
            <w:r>
              <w:tab/>
            </w:r>
            <w:r>
              <w:t>SSFA provided technical support for the establishment of seedling nurseries and feasibility studies on agroforestry in Busuanga. 271 women participating in these activities gained access to biodiversity-friendly planting materials and knowledge that support sustainable agricultural livelihoods.</w:t>
            </w:r>
          </w:p>
          <w:p w:rsidR="00D802A4" w:rsidRDefault="005650D6" w14:paraId="72C2E418" w14:textId="77777777">
            <w:r>
              <w:t>-</w:t>
            </w:r>
            <w:r>
              <w:tab/>
            </w:r>
            <w:r>
              <w:t>BDFA trained 41 women in agroforestry, organic farming, and small livestock integration. These practices have enhanced women’s income while promoting forest regeneration and positioning them as stewards of sustainable land use.</w:t>
            </w:r>
          </w:p>
          <w:p w:rsidR="00D802A4" w:rsidRDefault="005650D6" w14:paraId="39B54ECD" w14:textId="77777777">
            <w:r>
              <w:t>Catubig Watershed-5 Projects</w:t>
            </w:r>
          </w:p>
          <w:p w:rsidR="00D802A4" w:rsidRDefault="005650D6" w14:paraId="7B9CDF78" w14:textId="77777777">
            <w:r>
              <w:t>-</w:t>
            </w:r>
            <w:r>
              <w:tab/>
            </w:r>
            <w:r>
              <w:t>SCPI organized 20 VCTs across 20 barangays, benefiting 600 households. Women, including those in leadership roles including VCT officials (i.e president, secretary, treasurer, auditor), were trained in leadership and financial management, allowing them to serve as biodiversity and green-finance advocates in their communities.</w:t>
            </w:r>
          </w:p>
          <w:p w:rsidR="00D802A4" w:rsidRDefault="005650D6" w14:paraId="4C35E5FF" w14:textId="77777777">
            <w:r>
              <w:t>-</w:t>
            </w:r>
            <w:r>
              <w:tab/>
            </w:r>
            <w:r>
              <w:t>CCFI formed the SanDoQue Watershed Assoc. with 54 members, 65% of whom are women. Additionally, 42 members—including over 20 women—were trained and mobilized under the BTK teams, strengthening women’s roles in water resource monitoring and protection.</w:t>
            </w:r>
          </w:p>
          <w:p w:rsidR="00D802A4" w:rsidRDefault="005650D6" w14:paraId="4AC53496" w14:textId="77777777">
            <w:r>
              <w:t>-</w:t>
            </w:r>
            <w:r>
              <w:tab/>
            </w:r>
            <w:r>
              <w:t>CenSAAI conducted socio-economic surveys in 30 barangays, reaching 676 women (75% of respondents). The findings informed community biodiversity and climate programs that prioritize women’s vulnerabilities and access to riparian resources.</w:t>
            </w:r>
          </w:p>
          <w:p w:rsidR="00D802A4" w:rsidRDefault="005650D6" w14:paraId="0A7F4D3D" w14:textId="77777777">
            <w:r>
              <w:t>-</w:t>
            </w:r>
            <w:r>
              <w:tab/>
            </w:r>
            <w:r>
              <w:t>SACRED engaged more than 51 women in agroecological profiling and selected 25 of them as lead beneficiaries for training and farm development activities. This involvement enhances their knowledge of climate-resilient farming and boosts household food security.</w:t>
            </w:r>
          </w:p>
          <w:p w:rsidR="00D802A4" w:rsidRDefault="005650D6" w14:paraId="50C2E278" w14:textId="77777777">
            <w:r>
              <w:t>-</w:t>
            </w:r>
            <w:r>
              <w:tab/>
            </w:r>
            <w:r>
              <w:t>CAPWA included women in the co-management of forestlands under the CBFMA. They participated in site selection, ecological assessments, and agroforestry planning, thereby improving access to forest resources and reinforcing their roles in long-term ecosystem rehabilitation.</w:t>
            </w:r>
          </w:p>
          <w:p w:rsidR="00D802A4" w:rsidRDefault="005650D6" w14:paraId="5F76F01B" w14:textId="77777777">
            <w:r>
              <w:t>SIPLAS- 2 Projects</w:t>
            </w:r>
          </w:p>
          <w:p w:rsidR="00D802A4" w:rsidRDefault="005650D6" w14:paraId="70E625D4" w14:textId="77777777">
            <w:r>
              <w:t>-</w:t>
            </w:r>
            <w:r>
              <w:tab/>
            </w:r>
            <w:r>
              <w:t xml:space="preserve">SEDMFI built the capacity of 11 people’s organizations—many led by women—through proposal writing and project management workshops. These skills enabled women to access conservation funding and take part in local decision-making processes related to environmental governance. Seven out of nine that submitted proposals to SGP-7 were approved, and will be included in the next reporting period. Additionally, TICOFICO, through its Gender and Development (GAD) Committee, actively supports women. This commitment </w:t>
            </w:r>
            <w:r>
              <w:t>is also seen through the submission of a gender-responsive proposal to the NatureNest Accelerator program. The proposed activities that will primarily benefit women include the development of their tourism facility, as they will be the ones to manage and maintain it. Women will also take the lead in coastal reforestation efforts, being directly involved in planting and nurturing. Additionally, they will be the main participants in livelihood training programs, particularly in food processing, where they wil</w:t>
            </w:r>
            <w:r>
              <w:t>l prepare and sell local delicacies called kakanin. These initiatives provide socio-economic opportunities that empower women and enhance their roles in community development.</w:t>
            </w:r>
          </w:p>
          <w:p w:rsidR="00D802A4" w:rsidRDefault="005650D6" w14:paraId="4846370B" w14:textId="77777777">
            <w:r>
              <w:t>-</w:t>
            </w:r>
            <w:r>
              <w:tab/>
            </w:r>
            <w:r>
              <w:t>LKLLB engaged more than 4,000 members of the PACBRMA network across nine organizations, nearly half of whom are women, in participatory mapping, capacity assessments, and policy dialogues. This inclusive process gave women a direct voice in managing community forests and coastal zones, transforming them from passive beneficiaries into active co-managers of local ecosystems.</w:t>
            </w:r>
          </w:p>
        </w:tc>
      </w:tr>
      <w:tr w:rsidR="00D802A4" w14:paraId="4D605B7A" w14:textId="77777777">
        <w:tc>
          <w:tcPr>
            <w:tcW w:w="4000" w:type="dxa"/>
            <w:noWrap/>
          </w:tcPr>
          <w:p w:rsidR="00D802A4" w:rsidRDefault="005650D6" w14:paraId="33CB03A4" w14:textId="77777777">
            <w:r>
              <w:rPr>
                <w:b/>
                <w:bCs/>
              </w:rPr>
              <w:t>The progress of the objective/outcome can be described as:</w:t>
            </w:r>
          </w:p>
        </w:tc>
        <w:tc>
          <w:tcPr>
            <w:tcW w:w="12000" w:type="dxa"/>
            <w:gridSpan w:val="5"/>
            <w:noWrap/>
          </w:tcPr>
          <w:p w:rsidR="00D802A4" w:rsidRDefault="005650D6" w14:paraId="0E577CED" w14:textId="77777777">
            <w:r>
              <w:rPr>
                <w:b/>
                <w:bCs/>
              </w:rPr>
              <w:t>On track</w:t>
            </w:r>
          </w:p>
        </w:tc>
      </w:tr>
      <w:tr w:rsidR="00D802A4" w14:paraId="401A5627" w14:textId="77777777">
        <w:tc>
          <w:tcPr>
            <w:tcW w:w="4000" w:type="dxa"/>
            <w:noWrap/>
          </w:tcPr>
          <w:p w:rsidR="00D802A4" w:rsidRDefault="005650D6" w14:paraId="04A226D3" w14:textId="77777777">
            <w:r>
              <w:rPr>
                <w:b/>
                <w:bCs/>
              </w:rPr>
              <w:t>Evidence uploaded:</w:t>
            </w:r>
          </w:p>
        </w:tc>
        <w:tc>
          <w:tcPr>
            <w:tcW w:w="12000" w:type="dxa"/>
            <w:gridSpan w:val="5"/>
            <w:noWrap/>
          </w:tcPr>
          <w:p w:rsidR="00D802A4" w:rsidRDefault="005650D6" w14:paraId="5BB81569" w14:textId="77777777">
            <w:r>
              <w:t>YES</w:t>
            </w:r>
          </w:p>
        </w:tc>
      </w:tr>
      <w:tr w:rsidR="00D802A4" w14:paraId="0687742B" w14:textId="77777777">
        <w:tc>
          <w:tcPr>
            <w:tcW w:w="16000" w:type="dxa"/>
            <w:gridSpan w:val="6"/>
            <w:shd w:val="clear" w:color="auto" w:fill="D9D9D9"/>
            <w:noWrap/>
          </w:tcPr>
          <w:p w:rsidR="00D802A4" w:rsidRDefault="005650D6" w14:paraId="4D67FD6B" w14:textId="77777777">
            <w:r>
              <w:rPr>
                <w:b/>
                <w:bCs/>
              </w:rPr>
              <w:t>Outcome 4</w:t>
            </w:r>
          </w:p>
          <w:p w:rsidR="00D802A4" w:rsidRDefault="005650D6" w14:paraId="2971D740" w14:textId="77777777">
            <w:r>
              <w:rPr>
                <w:b/>
                <w:bCs/>
              </w:rPr>
              <w:t>Project component 2: Landscape governance and adaptive management for upscaling and replication</w:t>
            </w:r>
          </w:p>
          <w:p w:rsidR="00D802A4" w:rsidRDefault="005650D6" w14:paraId="0F5B82E0" w14:textId="77777777">
            <w:r>
              <w:rPr>
                <w:b/>
                <w:bCs/>
              </w:rPr>
              <w:t>Outcome 2.1: Multi-stakeholder governance platforms strengthened/in place for improved governance of target landscapes and seascapes for effective participatory decision making to enhance socio-ecological landscape resiliency.</w:t>
            </w:r>
          </w:p>
          <w:p w:rsidR="00D802A4" w:rsidRDefault="005650D6" w14:paraId="44B88FEF" w14:textId="77777777">
            <w:r>
              <w:rPr>
                <w:b/>
                <w:bCs/>
              </w:rPr>
              <w:t>Outputs to achieve Outcome:</w:t>
            </w:r>
          </w:p>
          <w:p w:rsidR="00D802A4" w:rsidRDefault="005650D6" w14:paraId="7776A561" w14:textId="77777777">
            <w:r>
              <w:rPr>
                <w:b/>
                <w:bCs/>
              </w:rPr>
              <w:t>Output 2.1.1 A multi-stakeholder governance platform in each target landscape develops and executes multi-stakeholder agreements for execution of adaptive landscape management plans and policies; development of value-chain improvement strategies for resilience enhancing products; and enhanced community participation in land-use decision making and management;</w:t>
            </w:r>
          </w:p>
          <w:p w:rsidR="00D802A4" w:rsidRDefault="005650D6" w14:paraId="1DB3671D" w14:textId="77777777">
            <w:r>
              <w:rPr>
                <w:b/>
                <w:bCs/>
              </w:rPr>
              <w:t>Output 2.1.2 A landscape strategy developed by the corresponding multi-stakeholder platform for each target landscape to enhance socio-ecological resilience through community grant projects.</w:t>
            </w:r>
          </w:p>
        </w:tc>
      </w:tr>
      <w:tr w:rsidR="00D802A4" w14:paraId="08F33294" w14:textId="77777777">
        <w:tc>
          <w:tcPr>
            <w:tcW w:w="4000" w:type="dxa"/>
            <w:noWrap/>
          </w:tcPr>
          <w:p w:rsidR="00D802A4" w:rsidRDefault="005650D6" w14:paraId="158044AE" w14:textId="77777777">
            <w:r>
              <w:rPr>
                <w:b/>
                <w:bCs/>
              </w:rPr>
              <w:t>Description of Indicator</w:t>
            </w:r>
          </w:p>
        </w:tc>
        <w:tc>
          <w:tcPr>
            <w:tcW w:w="2000" w:type="dxa"/>
            <w:noWrap/>
          </w:tcPr>
          <w:p w:rsidR="00D802A4" w:rsidRDefault="005650D6" w14:paraId="74D77D62" w14:textId="77777777">
            <w:r>
              <w:rPr>
                <w:b/>
                <w:bCs/>
              </w:rPr>
              <w:t>Baseline Level</w:t>
            </w:r>
          </w:p>
        </w:tc>
        <w:tc>
          <w:tcPr>
            <w:tcW w:w="2000" w:type="dxa"/>
            <w:noWrap/>
          </w:tcPr>
          <w:p w:rsidR="00D802A4" w:rsidRDefault="005650D6" w14:paraId="09F1FEF5" w14:textId="77777777">
            <w:r>
              <w:rPr>
                <w:b/>
                <w:bCs/>
              </w:rPr>
              <w:t>Midterm target level</w:t>
            </w:r>
          </w:p>
        </w:tc>
        <w:tc>
          <w:tcPr>
            <w:tcW w:w="2000" w:type="dxa"/>
            <w:noWrap/>
          </w:tcPr>
          <w:p w:rsidR="00D802A4" w:rsidRDefault="005650D6" w14:paraId="23CEB521" w14:textId="77777777">
            <w:r>
              <w:rPr>
                <w:b/>
                <w:bCs/>
              </w:rPr>
              <w:t>End of project target level</w:t>
            </w:r>
          </w:p>
        </w:tc>
        <w:tc>
          <w:tcPr>
            <w:tcW w:w="4000" w:type="dxa"/>
            <w:noWrap/>
          </w:tcPr>
          <w:p w:rsidR="00D802A4" w:rsidRDefault="005650D6" w14:paraId="4C076856" w14:textId="77777777">
            <w:r>
              <w:rPr>
                <w:b/>
                <w:bCs/>
              </w:rPr>
              <w:t>Level at Jun 30, 2024</w:t>
            </w:r>
          </w:p>
        </w:tc>
        <w:tc>
          <w:tcPr>
            <w:tcW w:w="4000" w:type="dxa"/>
            <w:noWrap/>
          </w:tcPr>
          <w:p w:rsidR="00D802A4" w:rsidRDefault="005650D6" w14:paraId="533A91AB" w14:textId="77777777">
            <w:r>
              <w:rPr>
                <w:b/>
                <w:bCs/>
              </w:rPr>
              <w:t>Cumulative progress since project start as of Jun 30, 2025</w:t>
            </w:r>
          </w:p>
        </w:tc>
      </w:tr>
      <w:tr w:rsidR="00D802A4" w14:paraId="09FD7E6A" w14:textId="77777777">
        <w:tc>
          <w:tcPr>
            <w:tcW w:w="4000" w:type="dxa"/>
            <w:noWrap/>
          </w:tcPr>
          <w:p w:rsidR="00D802A4" w:rsidRDefault="005650D6" w14:paraId="74E808FE" w14:textId="77777777">
            <w:r>
              <w:t>Indicator 13: Number of multi-stakeholder platforms operational in each sub-landscape, with at least 40% participation of women</w:t>
            </w:r>
          </w:p>
        </w:tc>
        <w:tc>
          <w:tcPr>
            <w:tcW w:w="2000" w:type="dxa"/>
            <w:noWrap/>
          </w:tcPr>
          <w:p w:rsidR="00D802A4" w:rsidRDefault="005650D6" w14:paraId="04ADDF14" w14:textId="77777777">
            <w:r>
              <w:rPr>
                <w:i/>
                <w:iCs/>
              </w:rPr>
              <w:t>(not set or not applicable)</w:t>
            </w:r>
          </w:p>
        </w:tc>
        <w:tc>
          <w:tcPr>
            <w:tcW w:w="2000" w:type="dxa"/>
            <w:noWrap/>
          </w:tcPr>
          <w:p w:rsidR="00D802A4" w:rsidRDefault="005650D6" w14:paraId="1D53BDD6" w14:textId="77777777">
            <w:r>
              <w:t>4</w:t>
            </w:r>
          </w:p>
        </w:tc>
        <w:tc>
          <w:tcPr>
            <w:tcW w:w="2000" w:type="dxa"/>
            <w:noWrap/>
          </w:tcPr>
          <w:p w:rsidR="00D802A4" w:rsidRDefault="005650D6" w14:paraId="30A67DBB" w14:textId="77777777">
            <w:r>
              <w:t>4</w:t>
            </w:r>
          </w:p>
        </w:tc>
        <w:tc>
          <w:tcPr>
            <w:tcW w:w="4000" w:type="dxa"/>
            <w:noWrap/>
          </w:tcPr>
          <w:p w:rsidR="00D802A4" w:rsidRDefault="005650D6" w14:paraId="7E32313E" w14:textId="77777777">
            <w:r>
              <w:t>Target achieved.</w:t>
            </w:r>
          </w:p>
          <w:p w:rsidR="00D802A4" w:rsidRDefault="00D802A4" w14:paraId="66980E35" w14:textId="77777777"/>
          <w:p w:rsidR="00D802A4" w:rsidRDefault="005650D6" w14:paraId="7265FCAA" w14:textId="77777777">
            <w:r>
              <w:t>Cumulative progress as of 30 June 2024: 4 multi-stakeholder platforms operational in each sub-landscape with 46.5% participation of women (100% of the EOP target).</w:t>
            </w:r>
          </w:p>
          <w:p w:rsidR="00D802A4" w:rsidRDefault="00D802A4" w14:paraId="4D9AF7CC" w14:textId="77777777"/>
          <w:p w:rsidR="00D802A4" w:rsidRDefault="005650D6" w14:paraId="4D21387B" w14:textId="77777777">
            <w:r>
              <w:t>During the reporting period, the project has secured the issuance of a Special Order, signed by the Department of Environment and Natural Resources (DENR) Secretary Maria Antonia Yulo-Loyzaga, effectively operationalizing the multi-stakeholder platforms, or Landscape Round Table Committees (LRTC), in the four project landscapes/seascapes. The composition of the LRTCs has an average of 46.5% women participation. Additional information is provided on each platform hereunder:</w:t>
            </w:r>
          </w:p>
          <w:p w:rsidR="00D802A4" w:rsidRDefault="00D802A4" w14:paraId="0E80ABB1" w14:textId="77777777"/>
          <w:p w:rsidR="00D802A4" w:rsidRDefault="005650D6" w14:paraId="79475314" w14:textId="77777777">
            <w:r>
              <w:t>1. Catubig Watershed LRTC (20 individuals appointed, of which 40% are women).</w:t>
            </w:r>
          </w:p>
          <w:p w:rsidR="00D802A4" w:rsidRDefault="00D802A4" w14:paraId="404B25CB" w14:textId="77777777"/>
          <w:p w:rsidR="00D802A4" w:rsidRDefault="005650D6" w14:paraId="1DF5BC6F" w14:textId="77777777">
            <w:r>
              <w:t>2. CGI LRTC (19 individuals appointed, of which 42% are women).</w:t>
            </w:r>
          </w:p>
          <w:p w:rsidR="00D802A4" w:rsidRDefault="00D802A4" w14:paraId="774AA013" w14:textId="77777777"/>
          <w:p w:rsidR="00D802A4" w:rsidRDefault="005650D6" w14:paraId="04EBEA1F" w14:textId="77777777">
            <w:r>
              <w:t>3. SIPLAS LRTC (34 individuals appointed, of which 54% are women).</w:t>
            </w:r>
          </w:p>
          <w:p w:rsidR="00D802A4" w:rsidRDefault="00D802A4" w14:paraId="69816C6B" w14:textId="77777777"/>
          <w:p w:rsidR="00D802A4" w:rsidRDefault="005650D6" w14:paraId="252937D0" w14:textId="77777777">
            <w:r>
              <w:t>4. Aurora Province (24 individuals appointed, of which 50% are women).</w:t>
            </w:r>
          </w:p>
          <w:p w:rsidR="00D802A4" w:rsidRDefault="00D802A4" w14:paraId="394EF277" w14:textId="77777777"/>
          <w:p w:rsidR="00D802A4" w:rsidRDefault="005650D6" w14:paraId="24B89925" w14:textId="77777777">
            <w:r>
              <w:t>LRTCs are multi-sector platforms set up in each landscape/seascape to bring together different stakeholders, including civil society organizations, government agencies, academia, and vulnerable groups like women, indigenous people, fisherfolk, farmers, and youth. LRTCs are responsible for identifying needs and opportunities in the landscape, monitoring small grant implementations, and integrating landscape strategies into grants led by civil society organizations. They help secure resources, review grant pr</w:t>
            </w:r>
            <w:r>
              <w:t>ogress, and scale up successful practices. Their role also includes advising on grant design, incorporating project learnings into agency programs, collaborating on policy recommendations, and ensuring projects run effectively.</w:t>
            </w:r>
          </w:p>
          <w:p w:rsidR="00D802A4" w:rsidRDefault="00D802A4" w14:paraId="58D7F915" w14:textId="77777777"/>
          <w:p w:rsidR="00D802A4" w:rsidRDefault="005650D6" w14:paraId="707B6FE5" w14:textId="77777777">
            <w:r>
              <w:t>All information above is supported by evidence Annex 13 - Indicator 13 available at: https://dub.sh/PIMS6254-Annex13</w:t>
            </w:r>
          </w:p>
        </w:tc>
        <w:tc>
          <w:tcPr>
            <w:tcW w:w="4000" w:type="dxa"/>
            <w:noWrap/>
          </w:tcPr>
          <w:p w:rsidR="00D802A4" w:rsidRDefault="005650D6" w14:paraId="4A809927" w14:textId="77777777">
            <w:r>
              <w:t>Target achieved.</w:t>
            </w:r>
          </w:p>
          <w:p w:rsidR="00D802A4" w:rsidRDefault="00D802A4" w14:paraId="42805BD6" w14:textId="77777777"/>
          <w:p w:rsidR="00D802A4" w:rsidRDefault="005650D6" w14:paraId="51500572" w14:textId="77777777">
            <w:r>
              <w:t>Cumulative progress as of 30 June 2025: Five multi-stakeholder platforms operational in each sub-landscape, with at least 40% participation of women (125% of the EOP target).</w:t>
            </w:r>
          </w:p>
          <w:p w:rsidR="00D802A4" w:rsidRDefault="00D802A4" w14:paraId="05EDC50D" w14:textId="77777777"/>
          <w:p w:rsidR="00D802A4" w:rsidRDefault="005650D6" w14:paraId="0DAD4703" w14:textId="77777777">
            <w:r>
              <w:t>The project maintained, and even enhanced, the status of the multistakeholder platforms reported during the previous period. While it is noted that four Landscape Round Table Committees (LRTCs) have been formed (one from each landscape/seascape) the project recognized a fifth operational platform organized in Catubig Watershed– the Civil Society Organizations (CSOs) Alliance Network, formed after the efforts made in SGP-5, has been strengthened and integrated in the Catubig Watershed Landscape Level NGO Hub</w:t>
            </w:r>
            <w:r>
              <w:t xml:space="preserve"> operations of SGP-7. This network contributed to the coordination, proposal review and revisions, as well as in monitoring and evaluation of grants being implemented.</w:t>
            </w:r>
          </w:p>
          <w:p w:rsidR="00D802A4" w:rsidRDefault="00D802A4" w14:paraId="4B89F5E9" w14:textId="77777777"/>
          <w:p w:rsidR="00D802A4" w:rsidRDefault="005650D6" w14:paraId="06ABD1DA" w14:textId="77777777">
            <w:r>
              <w:t>The Project Management Unit (PMU) facilitated orientation workshops to LRTC about the project. The members from each LRTC were provided capacity building on project development and proposal evaluation. One more key development in this indicator is the transition in facilitating the operations of the LRTCs from the PMU to the NGO hubs. This not only strengthened relationships with local stakeholders, but also ensured the local ownership and sustainability of the governance platforms.</w:t>
            </w:r>
          </w:p>
          <w:p w:rsidR="00D802A4" w:rsidRDefault="00D802A4" w14:paraId="089E4262" w14:textId="77777777"/>
          <w:p w:rsidR="00D802A4" w:rsidRDefault="005650D6" w14:paraId="3A656731" w14:textId="77777777">
            <w:r>
              <w:t>The composition of the LRTCs is 44.6% women participation. Additional information is provided on each platform hereunder:</w:t>
            </w:r>
          </w:p>
          <w:p w:rsidR="00D802A4" w:rsidRDefault="005650D6" w14:paraId="5F34A87A" w14:textId="77777777">
            <w:r>
              <w:t>1. Catubig Watershed LRTC (24 people appointed, of which 9 are women, or 38%).</w:t>
            </w:r>
          </w:p>
          <w:p w:rsidR="00D802A4" w:rsidRDefault="005650D6" w14:paraId="02303CD2" w14:textId="77777777">
            <w:r>
              <w:t>2. CGI LRTC (12 people appointed, of which three are women, or 25%).</w:t>
            </w:r>
          </w:p>
          <w:p w:rsidR="00D802A4" w:rsidRDefault="005650D6" w14:paraId="0F99F85E" w14:textId="77777777">
            <w:r>
              <w:t>3. SIPLAS LRTC (22 people appointed, of which 12 are women, or 55%).</w:t>
            </w:r>
          </w:p>
          <w:p w:rsidR="00D802A4" w:rsidRDefault="005650D6" w14:paraId="20D9EAD8" w14:textId="77777777">
            <w:r>
              <w:t>4. Aurora Province (36 people appointed, of which 18 are women, or 50%).</w:t>
            </w:r>
          </w:p>
          <w:p w:rsidR="00D802A4" w:rsidRDefault="00D802A4" w14:paraId="63132FE4" w14:textId="77777777"/>
          <w:p w:rsidR="00D802A4" w:rsidRDefault="005650D6" w14:paraId="72212C58" w14:textId="77777777">
            <w:r>
              <w:t>During this reporting period, the LRTC convened to evaluate project proposals submitted under the Second Call for Regular and Strategic Grants.</w:t>
            </w:r>
          </w:p>
          <w:p w:rsidR="00D802A4" w:rsidRDefault="00D802A4" w14:paraId="7DAF2918" w14:textId="77777777"/>
          <w:p w:rsidR="00D802A4" w:rsidRDefault="005650D6" w14:paraId="43C88AF5" w14:textId="77777777">
            <w:r>
              <w:t>In Aurora, the LRTC meeting was held on June 3, 2025, at Pacific Waves, Baler, attended by DENR, LGUs, NCIP, and Aurora State College of Technology (ASCOT). The committee reviewed two proposals from indigenous groups—Samahan ng Katutubong Agta na Ikhan at Lhaman Phisad-phisad (SAKAILAP) in Casiguran and Maedup Mag-kaiisin I Dumagat De Matawe Asosasyon (MMIDA) in Dingalan. Tanggol Kalikasan (TK), acting as secretariat, facilitated the meeting, delivered grant proposal presentations, and documented discussion</w:t>
            </w:r>
            <w:r>
              <w:t>s. Both proposals were endorsed unanimously for elevation to the Project Technical Review Committee (PTRC) and National Steering Committee (NSC) levels.</w:t>
            </w:r>
          </w:p>
          <w:p w:rsidR="00D802A4" w:rsidRDefault="00D802A4" w14:paraId="7F87C1FA" w14:textId="77777777"/>
          <w:p w:rsidR="00D802A4" w:rsidRDefault="005650D6" w14:paraId="16298005" w14:textId="77777777">
            <w:r>
              <w:t>In the Catubig Watershed, the LRTC convened on May 27, 2025, at Collins Café, Catarman, Northern Samar, with participants representing DENR , Provincial Environment and Natural Resources Office (PENRO), LGUs of Palapag, Las Navas, Laoang, Catubig), DILG (Department of the Interior and Local Government), and NGOs such as CAPWA , SCPI, CCFI, CenSAAI, and CERD.</w:t>
            </w:r>
          </w:p>
          <w:p w:rsidR="00D802A4" w:rsidRDefault="00D802A4" w14:paraId="5120FE61" w14:textId="77777777"/>
          <w:p w:rsidR="00D802A4" w:rsidRDefault="005650D6" w14:paraId="79CBC2C6" w14:textId="77777777">
            <w:r>
              <w:t>In CGI, the LRTC met on June 4, 2025, at the DENR-CENRO, Coron. Coordinated by C3 Philippines, the session was attended by representatives from DENR, LGUs, and civil society groups. Seven proposals were assessed using a standardized rubric evaluating relevance, feasibility, gender responsiveness, and strategic alignment. Each was discussed, rated, and refined through group consensus, leading to consolidated evaluation reports and endorsement recommendations for PTRC-NSC review.</w:t>
            </w:r>
          </w:p>
          <w:p w:rsidR="00D802A4" w:rsidRDefault="00D802A4" w14:paraId="18FC2995" w14:textId="77777777"/>
          <w:p w:rsidR="00D802A4" w:rsidRDefault="005650D6" w14:paraId="1CD3F227" w14:textId="77777777">
            <w:r>
              <w:t>In SIPLAS, the LRTC convened on April 30, 2025, at Islanderville Pension House, Dapa, led by SEDMFI as the NGO Hub. Participants included DENR PENRO (Provincial Environment and Natural Resources Office), DILG, PAMO (Protected Area Management Office), ENRO (Environment and Natural Resources Office), PPDO (Provincial Planning and Development Office), Provincial Tourism and Agriculture Offices, Surigao del Norte State University (SNSU), and NGOs like Lokal Lab and Siargao Islands Wildlife Conservation Foundati</w:t>
            </w:r>
            <w:r>
              <w:t>on, Inc. (SIWCFI). The committee focused on proposals targeting marine, coastal, and freshwater ecosystem restoration.</w:t>
            </w:r>
          </w:p>
        </w:tc>
      </w:tr>
      <w:tr w:rsidR="00D802A4" w14:paraId="620419C7" w14:textId="77777777">
        <w:tc>
          <w:tcPr>
            <w:tcW w:w="4000" w:type="dxa"/>
            <w:noWrap/>
          </w:tcPr>
          <w:p w:rsidR="00D802A4" w:rsidRDefault="005650D6" w14:paraId="5CE75D7B" w14:textId="77777777">
            <w:r>
              <w:t>Indicator 14: Number of landscape strategies produced through a multi-stakeholder governance platforms with specified gender considerations and targets</w:t>
            </w:r>
          </w:p>
        </w:tc>
        <w:tc>
          <w:tcPr>
            <w:tcW w:w="2000" w:type="dxa"/>
            <w:noWrap/>
          </w:tcPr>
          <w:p w:rsidR="00D802A4" w:rsidRDefault="005650D6" w14:paraId="32FA21A2" w14:textId="77777777">
            <w:r>
              <w:t>0</w:t>
            </w:r>
          </w:p>
        </w:tc>
        <w:tc>
          <w:tcPr>
            <w:tcW w:w="2000" w:type="dxa"/>
            <w:noWrap/>
          </w:tcPr>
          <w:p w:rsidR="00D802A4" w:rsidRDefault="005650D6" w14:paraId="40E9178C" w14:textId="77777777">
            <w:r>
              <w:t>1</w:t>
            </w:r>
          </w:p>
        </w:tc>
        <w:tc>
          <w:tcPr>
            <w:tcW w:w="2000" w:type="dxa"/>
            <w:noWrap/>
          </w:tcPr>
          <w:p w:rsidR="00D802A4" w:rsidRDefault="005650D6" w14:paraId="49392B94" w14:textId="77777777">
            <w:r>
              <w:t>4</w:t>
            </w:r>
          </w:p>
        </w:tc>
        <w:tc>
          <w:tcPr>
            <w:tcW w:w="4000" w:type="dxa"/>
            <w:noWrap/>
          </w:tcPr>
          <w:p w:rsidR="00D802A4" w:rsidRDefault="005650D6" w14:paraId="31499ED0" w14:textId="77777777">
            <w:r>
              <w:t>Target achieved.</w:t>
            </w:r>
          </w:p>
          <w:p w:rsidR="00D802A4" w:rsidRDefault="00D802A4" w14:paraId="705E676D" w14:textId="77777777"/>
          <w:p w:rsidR="00D802A4" w:rsidRDefault="005650D6" w14:paraId="70B2C6F1" w14:textId="77777777">
            <w:r>
              <w:t>Cumulative progress as of 30 June 2024: four (4) landscape strategies produced through multi-stakeholder governance platforms with specified gender considerations and targets (100% of the EOP target).</w:t>
            </w:r>
          </w:p>
          <w:p w:rsidR="00D802A4" w:rsidRDefault="00D802A4" w14:paraId="1586FF9E" w14:textId="77777777"/>
          <w:p w:rsidR="00D802A4" w:rsidRDefault="005650D6" w14:paraId="770911CF" w14:textId="77777777">
            <w:r>
              <w:t>During the reporting period, the project has finalized the 4 landscape strategies, for which development had begun during the previous reporting period, as reported in the previous PIR.</w:t>
            </w:r>
          </w:p>
          <w:p w:rsidR="00D802A4" w:rsidRDefault="00D802A4" w14:paraId="31FD21FE" w14:textId="77777777"/>
          <w:p w:rsidR="00D802A4" w:rsidRDefault="005650D6" w14:paraId="570DE769" w14:textId="77777777">
            <w:r>
              <w:t>More specifically, the project has organized during the reporting period Focus Group Discussions (FGDs) on SEPLS across all four target landscapes/seascapes, as per the COMDEKS approach. These activities involved a total of 152 participants: 68 men, 84 women.</w:t>
            </w:r>
          </w:p>
          <w:p w:rsidR="00D802A4" w:rsidRDefault="00D802A4" w14:paraId="4B7394B0" w14:textId="77777777"/>
          <w:p w:rsidR="00D802A4" w:rsidRDefault="005650D6" w14:paraId="2C1C1335" w14:textId="77777777">
            <w:r>
              <w:t>These discussions were conducted on the following dates:</w:t>
            </w:r>
          </w:p>
          <w:p w:rsidR="00D802A4" w:rsidRDefault="005650D6" w14:paraId="4C19A7FA" w14:textId="77777777">
            <w:r>
              <w:t>1. Catubig watershed: September 7-8, 2023 (35 participants: 21 men, 14 women).</w:t>
            </w:r>
          </w:p>
          <w:p w:rsidR="00D802A4" w:rsidRDefault="005650D6" w14:paraId="0F4E05DA" w14:textId="77777777">
            <w:r>
              <w:t>2. CGI: August 23-24, 2023 (35 participants: 18 men, 17 women);</w:t>
            </w:r>
          </w:p>
          <w:p w:rsidR="00D802A4" w:rsidRDefault="005650D6" w14:paraId="3F43427A" w14:textId="77777777">
            <w:r>
              <w:t>3. SIPLAS: August 16-18, 2023 (53 participants: 15 men, 38 women); and</w:t>
            </w:r>
          </w:p>
          <w:p w:rsidR="00D802A4" w:rsidRDefault="005650D6" w14:paraId="125A2AB3" w14:textId="77777777">
            <w:r>
              <w:t>4. Aurora Province: September 6-7, 2023 (29 participants: 14 men, 15 women)&lt;</w:t>
            </w:r>
          </w:p>
          <w:p w:rsidR="00D802A4" w:rsidRDefault="00D802A4" w14:paraId="2824C97B" w14:textId="77777777"/>
          <w:p w:rsidR="00D802A4" w:rsidRDefault="005650D6" w14:paraId="26522CDB" w14:textId="77777777">
            <w:r>
              <w:t xml:space="preserve">These discussions gathered valuable insights from local communities regarding their needs, priorities, and views on resilience. The FGDs resulted in comprehensive baseline assessments, which assessed various ecosystems and their services, as well as environmental shocks affecting SEPLS. It also sought to understand local perceptions of resilience elements, such as landscape and seascape diversity, ecosystem protection, biodiversity (including agricultural biodiversity), knowledge and innovation governance, </w:t>
            </w:r>
            <w:r>
              <w:t>social equity, livelihoods, and well-being.</w:t>
            </w:r>
          </w:p>
          <w:p w:rsidR="00D802A4" w:rsidRDefault="00D802A4" w14:paraId="398F97BD" w14:textId="77777777"/>
          <w:p w:rsidR="00D802A4" w:rsidRDefault="005650D6" w14:paraId="54BD00C1" w14:textId="77777777">
            <w:r>
              <w:t>Following these baseline assessments for SEPLS, the project developed the Landscape Strategies for each target landscape/seascape. These strategies aim to create a balanced approach to development that enhances biodiversity, supports sustainable livelihoods, improves governance, and builds resilience to climate change impacts. They emphasize community engagement and collaborative efforts among diverse stakeholders for long-term environmental and socio-economic sustainability. Additionally, the landscape str</w:t>
            </w:r>
            <w:r>
              <w:t>ategies include thematic interventions that have been tailored for each target landscapes/seascapes to address specific interconnected challenges.</w:t>
            </w:r>
          </w:p>
          <w:p w:rsidR="00D802A4" w:rsidRDefault="00D802A4" w14:paraId="71D2D6CF" w14:textId="77777777"/>
          <w:p w:rsidR="00D802A4" w:rsidRDefault="005650D6" w14:paraId="4087B637" w14:textId="77777777">
            <w:r>
              <w:t>The draft landscape strategies were shared, presented and approved with relevant stakeholders of the governance framework described in indicator 13, including the LTRCs (SIPLAS: October 24, 2023; Catubig watershed: October 26, 2023; CGI: November 9, 2023; Aurora: November 21, 2023) and the NSC (on November 16, 2023). Securing approval from these bodies validated the strategies as robust, inclusive, and aligned with both local needs and national development objectives, emphasizing the collaborative nature of</w:t>
            </w:r>
            <w:r>
              <w:t xml:space="preserve"> the program.</w:t>
            </w:r>
          </w:p>
          <w:p w:rsidR="00D802A4" w:rsidRDefault="00D802A4" w14:paraId="31662EED" w14:textId="77777777"/>
          <w:p w:rsidR="00D802A4" w:rsidRDefault="005650D6" w14:paraId="382316DC" w14:textId="77777777">
            <w:r>
              <w:t>The landscapes strategies were compiled and disseminated to all relevant stakeholders as part of the call for proposal issued online on January 15, 2024. It was also shared to members of the LRTC during the various orientations on the following dates: 1) March 13-17, 2024: SIPLAS; 2) March 13-15, 2024: Catubig Watershed; March 18-20, 2024: Aurora Province; and March 21-24, 2024: CGI.</w:t>
            </w:r>
          </w:p>
          <w:p w:rsidR="00D802A4" w:rsidRDefault="00D802A4" w14:paraId="3530CAD1" w14:textId="77777777"/>
          <w:p w:rsidR="00D802A4" w:rsidRDefault="005650D6" w14:paraId="2BE1860C" w14:textId="77777777">
            <w:r>
              <w:t>All information above is supported by evidence  Annex 14 - Indicator 14 available at: https://dub.sh/PIMS6254-Annex14</w:t>
            </w:r>
          </w:p>
        </w:tc>
        <w:tc>
          <w:tcPr>
            <w:tcW w:w="4000" w:type="dxa"/>
            <w:noWrap/>
          </w:tcPr>
          <w:p w:rsidR="00D802A4" w:rsidRDefault="005650D6" w14:paraId="05E05733" w14:textId="77777777">
            <w:r>
              <w:t>Target achieved.</w:t>
            </w:r>
          </w:p>
          <w:p w:rsidR="00D802A4" w:rsidRDefault="00D802A4" w14:paraId="0A7DF508" w14:textId="77777777"/>
          <w:p w:rsidR="00D802A4" w:rsidRDefault="005650D6" w14:paraId="1D2DDB8C" w14:textId="77777777">
            <w:r>
              <w:t>Cumulative progress as of 30 June 2025: Four (4) landscape strategies produced through multi-stakeholder governance platforms with specified gender considerations and targets (100% of the EOP target).</w:t>
            </w:r>
          </w:p>
          <w:p w:rsidR="00D802A4" w:rsidRDefault="00D802A4" w14:paraId="034C40B6" w14:textId="77777777"/>
          <w:p w:rsidR="00D802A4" w:rsidRDefault="005650D6" w14:paraId="1F5B3819" w14:textId="77777777">
            <w:r>
              <w:t>The landscape strategy of each SGP-7 ladscape served as an important reference in development of grant proposals, which have been submitted. The LRTCs evaluated the submitted proposals as to their alignment in the landscape strategy where the proposed interventions shall be implemented. Approved initiatives directly respond and address the priorities set in each document. These are designed to complement local development plans, needs, and community practices to ensure that grants are relevant to the landsc</w:t>
            </w:r>
            <w:r>
              <w:t>ape/seascape where it will operate. The NGO Hubs also contribute through the monitoring of activities.</w:t>
            </w:r>
          </w:p>
          <w:p w:rsidR="00D802A4" w:rsidRDefault="00D802A4" w14:paraId="0983D07C" w14:textId="77777777"/>
          <w:p w:rsidR="00D802A4" w:rsidRDefault="005650D6" w14:paraId="20E1CE69" w14:textId="77777777">
            <w:r>
              <w:t>In Aurora Province, the strategy focuses on enhancing landscape/seascape resilience to climate change through four Thematic Interventions (TI): biodiversity conservation and ecosystem rehabilitation; biodiversity-friendly enterprises and food security; ecotourism; and governance and management. The approved grants support these through activities that restore forest and coastal ecosystems, promote sustainable agricultural practices, strengthen local governance structures, and create alternative income oppor</w:t>
            </w:r>
            <w:r>
              <w:t>tunities through ecotourism and conservation-linked enterprises. It covers all municipalities.</w:t>
            </w:r>
          </w:p>
          <w:p w:rsidR="00D802A4" w:rsidRDefault="00D802A4" w14:paraId="11B84FD0" w14:textId="77777777"/>
          <w:p w:rsidR="00D802A4" w:rsidRDefault="005650D6" w14:paraId="66DAA4D8" w14:textId="77777777">
            <w:r>
              <w:t xml:space="preserve">The CGI strategy has strong emphasis on marine and coastal conservation. The five TIs include biodiversity conservation, biodiversity-friendly enterprises, ecotourism, solid waste management, and governance. Activities contribute by supporting ancestral domain protection, promoting Indigenous knowledge systems and practices (IKSP), enhancing solid waste solutions in coastal areas, and developing sustainable enterprises. Implementation is across the four island municipalities of Busuanga, Coron, Culion, and </w:t>
            </w:r>
            <w:r>
              <w:t>Linapacan.</w:t>
            </w:r>
          </w:p>
          <w:p w:rsidR="00D802A4" w:rsidRDefault="00D802A4" w14:paraId="6CF2DAD7" w14:textId="77777777"/>
          <w:p w:rsidR="00D802A4" w:rsidRDefault="005650D6" w14:paraId="3BC26B48" w14:textId="77777777">
            <w:r>
              <w:t xml:space="preserve">For Catubig Watershed, the strategy has been designed around interventions that address biodiversity loss, land degradation, and sustainable livelihoods, particularly in the four sub-watersheds of Bayog, Las Navas, Hinaga, and Hagbay. TIs include ecosystem rehabilitation, sustainable agriculture, biodiversity-friendly agri-business, and watershed governance. Approved grants in Catubig focus on agroforestry, forest restoration, and climate-resilient farming systems, while also strengthening local governance </w:t>
            </w:r>
            <w:r>
              <w:t>bodies and institutional mechanisms for watershed protection and community participation.</w:t>
            </w:r>
          </w:p>
          <w:p w:rsidR="00D802A4" w:rsidRDefault="00D802A4" w14:paraId="2C9A88B1" w14:textId="77777777"/>
          <w:p w:rsidR="00D802A4" w:rsidRDefault="005650D6" w14:paraId="3F7AB87B" w14:textId="77777777">
            <w:r>
              <w:t>Lastly, the SIPLAS landscape strategy emphasizes five TIs: biodiversity conservation, sustainable enterprises and food systems, ecotourism, solid waste management, and governance. It supports activities that promote ecotourism ventures led by local communities and implement community-based waste reduction initiatives.</w:t>
            </w:r>
          </w:p>
        </w:tc>
      </w:tr>
      <w:tr w:rsidR="00D802A4" w14:paraId="67485BF7" w14:textId="77777777">
        <w:tc>
          <w:tcPr>
            <w:tcW w:w="4000" w:type="dxa"/>
            <w:noWrap/>
          </w:tcPr>
          <w:p w:rsidR="00D802A4" w:rsidRDefault="005650D6" w14:paraId="525DD1FD" w14:textId="77777777">
            <w:r>
              <w:rPr>
                <w:b/>
                <w:bCs/>
              </w:rPr>
              <w:t>The progress of the objective/outcome can be described as:</w:t>
            </w:r>
          </w:p>
        </w:tc>
        <w:tc>
          <w:tcPr>
            <w:tcW w:w="12000" w:type="dxa"/>
            <w:gridSpan w:val="5"/>
            <w:noWrap/>
          </w:tcPr>
          <w:p w:rsidR="00D802A4" w:rsidRDefault="005650D6" w14:paraId="744DC9EC" w14:textId="77777777">
            <w:r>
              <w:rPr>
                <w:b/>
                <w:bCs/>
              </w:rPr>
              <w:t>Achieved</w:t>
            </w:r>
          </w:p>
        </w:tc>
      </w:tr>
      <w:tr w:rsidR="00D802A4" w14:paraId="00F9876F" w14:textId="77777777">
        <w:tc>
          <w:tcPr>
            <w:tcW w:w="4000" w:type="dxa"/>
            <w:noWrap/>
          </w:tcPr>
          <w:p w:rsidR="00D802A4" w:rsidRDefault="005650D6" w14:paraId="5DFD0EE3" w14:textId="77777777">
            <w:r>
              <w:rPr>
                <w:b/>
                <w:bCs/>
              </w:rPr>
              <w:t>Evidence uploaded:</w:t>
            </w:r>
          </w:p>
        </w:tc>
        <w:tc>
          <w:tcPr>
            <w:tcW w:w="12000" w:type="dxa"/>
            <w:gridSpan w:val="5"/>
            <w:noWrap/>
          </w:tcPr>
          <w:p w:rsidR="00D802A4" w:rsidRDefault="005650D6" w14:paraId="5030F37B" w14:textId="77777777">
            <w:r>
              <w:t>YES</w:t>
            </w:r>
          </w:p>
        </w:tc>
      </w:tr>
      <w:tr w:rsidR="00D802A4" w14:paraId="780DFE98" w14:textId="77777777">
        <w:tc>
          <w:tcPr>
            <w:tcW w:w="16000" w:type="dxa"/>
            <w:gridSpan w:val="6"/>
            <w:shd w:val="clear" w:color="auto" w:fill="D9D9D9"/>
            <w:noWrap/>
          </w:tcPr>
          <w:p w:rsidR="00D802A4" w:rsidRDefault="005650D6" w14:paraId="7FCD6751" w14:textId="77777777">
            <w:r>
              <w:rPr>
                <w:b/>
                <w:bCs/>
              </w:rPr>
              <w:t>Outcome 5</w:t>
            </w:r>
          </w:p>
          <w:p w:rsidR="00D802A4" w:rsidRDefault="005650D6" w14:paraId="06017EE6" w14:textId="77777777">
            <w:r>
              <w:rPr>
                <w:b/>
                <w:bCs/>
              </w:rPr>
              <w:t>Outcome 2.2: Knowledge from community level engagement and  innovative conservation practices is systematically assessed and shared for replication and upscaling across the landscapes, across the country, and to the global SGP network.</w:t>
            </w:r>
          </w:p>
          <w:p w:rsidR="00D802A4" w:rsidRDefault="005650D6" w14:paraId="026DEEC9" w14:textId="77777777">
            <w:r>
              <w:rPr>
                <w:b/>
                <w:bCs/>
              </w:rPr>
              <w:t>Outputs to achieve Outcome:</w:t>
            </w:r>
          </w:p>
          <w:p w:rsidR="00D802A4" w:rsidRDefault="005650D6" w14:paraId="4E6E5575" w14:textId="77777777">
            <w:r>
              <w:rPr>
                <w:b/>
                <w:bCs/>
              </w:rPr>
              <w:t>2.2.1 Landscape Learning Hubs support community level project management capacity building, project monitoring and learning;</w:t>
            </w:r>
          </w:p>
          <w:p w:rsidR="00D802A4" w:rsidRDefault="005650D6" w14:paraId="79D14B6F" w14:textId="77777777">
            <w:r>
              <w:rPr>
                <w:b/>
                <w:bCs/>
              </w:rPr>
              <w:t>2.2.2 Knowledge management mechanism established as part of each multi-stakeholder platform;</w:t>
            </w:r>
          </w:p>
          <w:p w:rsidR="00D802A4" w:rsidRDefault="005650D6" w14:paraId="6D47E1AD" w14:textId="77777777">
            <w:r>
              <w:rPr>
                <w:b/>
                <w:bCs/>
              </w:rPr>
              <w:t>2.2.3 Strategic initiatives are supported to upscale successful SGP project experience and practice including community-NGO-government policy dialogues.</w:t>
            </w:r>
          </w:p>
          <w:p w:rsidR="00D802A4" w:rsidRDefault="00D802A4" w14:paraId="79A98987" w14:textId="77777777"/>
        </w:tc>
      </w:tr>
      <w:tr w:rsidR="00D802A4" w14:paraId="7A123437" w14:textId="77777777">
        <w:tc>
          <w:tcPr>
            <w:tcW w:w="4000" w:type="dxa"/>
            <w:noWrap/>
          </w:tcPr>
          <w:p w:rsidR="00D802A4" w:rsidRDefault="005650D6" w14:paraId="4BED057A" w14:textId="77777777">
            <w:r>
              <w:rPr>
                <w:b/>
                <w:bCs/>
              </w:rPr>
              <w:t>Description of Indicator</w:t>
            </w:r>
          </w:p>
        </w:tc>
        <w:tc>
          <w:tcPr>
            <w:tcW w:w="2000" w:type="dxa"/>
            <w:noWrap/>
          </w:tcPr>
          <w:p w:rsidR="00D802A4" w:rsidRDefault="005650D6" w14:paraId="5EF807B0" w14:textId="77777777">
            <w:r>
              <w:rPr>
                <w:b/>
                <w:bCs/>
              </w:rPr>
              <w:t>Baseline Level</w:t>
            </w:r>
          </w:p>
        </w:tc>
        <w:tc>
          <w:tcPr>
            <w:tcW w:w="2000" w:type="dxa"/>
            <w:noWrap/>
          </w:tcPr>
          <w:p w:rsidR="00D802A4" w:rsidRDefault="005650D6" w14:paraId="6C4BDA21" w14:textId="77777777">
            <w:r>
              <w:rPr>
                <w:b/>
                <w:bCs/>
              </w:rPr>
              <w:t>Midterm target level</w:t>
            </w:r>
          </w:p>
        </w:tc>
        <w:tc>
          <w:tcPr>
            <w:tcW w:w="2000" w:type="dxa"/>
            <w:noWrap/>
          </w:tcPr>
          <w:p w:rsidR="00D802A4" w:rsidRDefault="005650D6" w14:paraId="34FC131C" w14:textId="77777777">
            <w:r>
              <w:rPr>
                <w:b/>
                <w:bCs/>
              </w:rPr>
              <w:t>End of project target level</w:t>
            </w:r>
          </w:p>
        </w:tc>
        <w:tc>
          <w:tcPr>
            <w:tcW w:w="4000" w:type="dxa"/>
            <w:noWrap/>
          </w:tcPr>
          <w:p w:rsidR="00D802A4" w:rsidRDefault="005650D6" w14:paraId="4575DB09" w14:textId="77777777">
            <w:r>
              <w:rPr>
                <w:b/>
                <w:bCs/>
              </w:rPr>
              <w:t>Level at Jun 30, 2024</w:t>
            </w:r>
          </w:p>
        </w:tc>
        <w:tc>
          <w:tcPr>
            <w:tcW w:w="4000" w:type="dxa"/>
            <w:noWrap/>
          </w:tcPr>
          <w:p w:rsidR="00D802A4" w:rsidRDefault="005650D6" w14:paraId="5560B525" w14:textId="77777777">
            <w:r>
              <w:rPr>
                <w:b/>
                <w:bCs/>
              </w:rPr>
              <w:t>Cumulative progress since project start as of Jun 30, 2025</w:t>
            </w:r>
          </w:p>
        </w:tc>
      </w:tr>
      <w:tr w:rsidR="00D802A4" w14:paraId="697F6280" w14:textId="77777777">
        <w:tc>
          <w:tcPr>
            <w:tcW w:w="4000" w:type="dxa"/>
            <w:noWrap/>
          </w:tcPr>
          <w:p w:rsidR="00D802A4" w:rsidRDefault="005650D6" w14:paraId="276A11C6" w14:textId="77777777">
            <w:r>
              <w:t>Indicator 15: Number of landscape-level case studies which include best practices and lessons learned that can be upscaled at the policy-level</w:t>
            </w:r>
          </w:p>
        </w:tc>
        <w:tc>
          <w:tcPr>
            <w:tcW w:w="2000" w:type="dxa"/>
            <w:noWrap/>
          </w:tcPr>
          <w:p w:rsidR="00D802A4" w:rsidRDefault="005650D6" w14:paraId="2B38B312" w14:textId="77777777">
            <w:r>
              <w:t>3</w:t>
            </w:r>
          </w:p>
        </w:tc>
        <w:tc>
          <w:tcPr>
            <w:tcW w:w="2000" w:type="dxa"/>
            <w:noWrap/>
          </w:tcPr>
          <w:p w:rsidR="00D802A4" w:rsidRDefault="005650D6" w14:paraId="393A80B9" w14:textId="77777777">
            <w:r>
              <w:t>0</w:t>
            </w:r>
          </w:p>
        </w:tc>
        <w:tc>
          <w:tcPr>
            <w:tcW w:w="2000" w:type="dxa"/>
            <w:noWrap/>
          </w:tcPr>
          <w:p w:rsidR="00D802A4" w:rsidRDefault="005650D6" w14:paraId="1469021E" w14:textId="77777777">
            <w:r>
              <w:t>4</w:t>
            </w:r>
          </w:p>
        </w:tc>
        <w:tc>
          <w:tcPr>
            <w:tcW w:w="4000" w:type="dxa"/>
            <w:noWrap/>
          </w:tcPr>
          <w:p w:rsidR="00D802A4" w:rsidRDefault="005650D6" w14:paraId="1B82E243" w14:textId="77777777">
            <w:r>
              <w:t>Target on track.</w:t>
            </w:r>
          </w:p>
          <w:p w:rsidR="00D802A4" w:rsidRDefault="00D802A4" w14:paraId="072EE202" w14:textId="77777777"/>
          <w:p w:rsidR="00D802A4" w:rsidRDefault="005650D6" w14:paraId="2CA12D03" w14:textId="77777777">
            <w:r>
              <w:t>Cumulative progress as of 30 June 2024: 0 landscape-level case studies which include best practices and lessons learned that can be upscaled at the policy-level (0% of the EOP target).</w:t>
            </w:r>
          </w:p>
          <w:p w:rsidR="00D802A4" w:rsidRDefault="00D802A4" w14:paraId="3E488E1A" w14:textId="77777777"/>
          <w:p w:rsidR="00D802A4" w:rsidRDefault="005650D6" w14:paraId="00805643" w14:textId="77777777">
            <w:r>
              <w:t>During the reporting period, the project has included the development of case studies in each of the target landscapes/seascapes as part of the landscape/seascape strategies. Such case studies will document lessons learned, good practices and innovative solutions arising out of the initiatives funded through the planning, regular, strategic and NGO hub grants. Their development will start when implementation of grant projects is well underway and has started to generate results and lessons learned.</w:t>
            </w:r>
          </w:p>
        </w:tc>
        <w:tc>
          <w:tcPr>
            <w:tcW w:w="4000" w:type="dxa"/>
            <w:noWrap/>
          </w:tcPr>
          <w:p w:rsidR="00D802A4" w:rsidRDefault="005650D6" w14:paraId="567A0182" w14:textId="77777777">
            <w:r>
              <w:t>Target on track.</w:t>
            </w:r>
          </w:p>
          <w:p w:rsidR="00D802A4" w:rsidRDefault="00D802A4" w14:paraId="2198C8C6" w14:textId="77777777"/>
          <w:p w:rsidR="00D802A4" w:rsidRDefault="005650D6" w14:paraId="7D5B0C1F" w14:textId="77777777">
            <w:r>
              <w:t>Cumulative progress as of 30 June 2025: 0 landscape-level case studies which include best practices and lessons learned that can be upscaled at the policy-level (0% of the EOP target).</w:t>
            </w:r>
          </w:p>
          <w:p w:rsidR="00D802A4" w:rsidRDefault="00D802A4" w14:paraId="28ED0A4F" w14:textId="77777777"/>
          <w:p w:rsidR="00D802A4" w:rsidRDefault="005650D6" w14:paraId="28B134B8" w14:textId="77777777">
            <w:r>
              <w:t>During this reporting period, groundwork is already in motion for case studies for each landscape/seascape. With project implementation actively underway, early results and insights are being documented as they emerge.</w:t>
            </w:r>
          </w:p>
          <w:p w:rsidR="00D802A4" w:rsidRDefault="00D802A4" w14:paraId="31403D47" w14:textId="77777777"/>
          <w:p w:rsidR="00D802A4" w:rsidRDefault="005650D6" w14:paraId="087B9CBF" w14:textId="77777777">
            <w:r>
              <w:t>The PMU, along with the Landscape Level NGO Hubs, are working hand-in-hand with the grantees to capture lessons learned, good practices, and innovative approaches from the grants. Continuous documentation is being done. The PMU has developed standardized tools, such as the Story-Based Monitoring Tool and the Landscape-Level Reflection and Story Capture Tool, to guide the grantees in capturing the information needed. Also, another form of capturing information is through the progress reports which also follo</w:t>
            </w:r>
            <w:r>
              <w:t>ws a standard format. These will inform and form the basis of the case studies that will be produced in the upcoming reporting period with the goal of inspiring replication and scalability. The knowledge management and communications (KMC) component has been designed to guide the identification, documentation, and packaging of these studies. The compilation of case studies is projected toward the latter part of the project, through a planned thematic book series. The booklets will organize the documented le</w:t>
            </w:r>
            <w:r>
              <w:t>ssons and practices under key themes.</w:t>
            </w:r>
          </w:p>
          <w:p w:rsidR="00D802A4" w:rsidRDefault="005650D6" w14:paraId="0938F799" w14:textId="77777777">
            <w:r>
              <w:t>Aside from the Landscape Level NGO Hubs, several grants are also set to produce case studies that would cover community-initiated innovations, ecosystem-based practices, and inclusive governance strategies, which will further support meeting the EOP target for this indicator during the upcoming reporting period.</w:t>
            </w:r>
          </w:p>
        </w:tc>
      </w:tr>
      <w:tr w:rsidR="00D802A4" w14:paraId="4C535EB0" w14:textId="77777777">
        <w:tc>
          <w:tcPr>
            <w:tcW w:w="4000" w:type="dxa"/>
            <w:noWrap/>
          </w:tcPr>
          <w:p w:rsidR="00D802A4" w:rsidRDefault="005650D6" w14:paraId="56F2B1FF" w14:textId="77777777">
            <w:r>
              <w:t>Indicator 16: Number of gender-responsive knowledge management and communication strategies</w:t>
            </w:r>
          </w:p>
        </w:tc>
        <w:tc>
          <w:tcPr>
            <w:tcW w:w="2000" w:type="dxa"/>
            <w:noWrap/>
          </w:tcPr>
          <w:p w:rsidR="00D802A4" w:rsidRDefault="005650D6" w14:paraId="37A37A40" w14:textId="77777777">
            <w:r>
              <w:t>0</w:t>
            </w:r>
          </w:p>
        </w:tc>
        <w:tc>
          <w:tcPr>
            <w:tcW w:w="2000" w:type="dxa"/>
            <w:noWrap/>
          </w:tcPr>
          <w:p w:rsidR="00D802A4" w:rsidRDefault="005650D6" w14:paraId="1595B155" w14:textId="77777777">
            <w:r>
              <w:t>1 national, umbrella knowledge management strategy (to be adapted throughout project)</w:t>
            </w:r>
          </w:p>
          <w:p w:rsidR="00D802A4" w:rsidRDefault="005650D6" w14:paraId="2AC0D9AE" w14:textId="77777777">
            <w:r>
              <w:t>1 national communications strategy (to be adapted throughout project)</w:t>
            </w:r>
          </w:p>
          <w:p w:rsidR="00D802A4" w:rsidRDefault="005650D6" w14:paraId="436BACD8" w14:textId="77777777">
            <w:r>
              <w:t>4 landscape-specific communications and knowledge management  strategies</w:t>
            </w:r>
          </w:p>
        </w:tc>
        <w:tc>
          <w:tcPr>
            <w:tcW w:w="2000" w:type="dxa"/>
            <w:noWrap/>
          </w:tcPr>
          <w:p w:rsidR="00D802A4" w:rsidRDefault="005650D6" w14:paraId="14D2C2FF" w14:textId="77777777">
            <w:r>
              <w:t>6</w:t>
            </w:r>
          </w:p>
          <w:p w:rsidR="00D802A4" w:rsidRDefault="005650D6" w14:paraId="748F7305" w14:textId="77777777">
            <w:r>
              <w:t>1 umbrella knowledge management strategy</w:t>
            </w:r>
          </w:p>
          <w:p w:rsidR="00D802A4" w:rsidRDefault="005650D6" w14:paraId="3E3C8479" w14:textId="77777777">
            <w:r>
              <w:t>1 national communications strategy</w:t>
            </w:r>
          </w:p>
          <w:p w:rsidR="00D802A4" w:rsidRDefault="005650D6" w14:paraId="32B2E0F6" w14:textId="77777777">
            <w:r>
              <w:t>4 landscape-specific communications and knowledge management  strategies</w:t>
            </w:r>
          </w:p>
        </w:tc>
        <w:tc>
          <w:tcPr>
            <w:tcW w:w="4000" w:type="dxa"/>
            <w:noWrap/>
          </w:tcPr>
          <w:p w:rsidR="00D802A4" w:rsidRDefault="005650D6" w14:paraId="136D1064" w14:textId="77777777">
            <w:r>
              <w:t>Target on track.</w:t>
            </w:r>
          </w:p>
          <w:p w:rsidR="00D802A4" w:rsidRDefault="00D802A4" w14:paraId="5A1A89B1" w14:textId="77777777"/>
          <w:p w:rsidR="00D802A4" w:rsidRDefault="005650D6" w14:paraId="47214270" w14:textId="77777777">
            <w:r>
              <w:t>Cumulative progress as of 30 June 2024: 0 gender-responsive knowledge management and communication strategies (0% of the EOP target).</w:t>
            </w:r>
          </w:p>
          <w:p w:rsidR="00D802A4" w:rsidRDefault="00D802A4" w14:paraId="61FE952F" w14:textId="77777777"/>
          <w:p w:rsidR="00D802A4" w:rsidRDefault="005650D6" w14:paraId="7EAE0563" w14:textId="77777777">
            <w:r>
              <w:t>During the reporting period, the project has expanded on the draft umbrella Knowledge Management (KM) and national communication strategies developed during the past reporting period, by enriching it with the feedback received from various surveys carried out when developing the landscape strategies. The project plans to finalize such strategies and delineate them in landscape-specific strategies during the upcoming reporting period.</w:t>
            </w:r>
          </w:p>
          <w:p w:rsidR="00D802A4" w:rsidRDefault="00D802A4" w14:paraId="75119495" w14:textId="77777777"/>
          <w:p w:rsidR="00D802A4" w:rsidRDefault="005650D6" w14:paraId="3E7E0E71" w14:textId="77777777">
            <w:r>
              <w:t>In the draft KM and communication strategies, the project has included provisions for knowledge capture and project documentation, the creation of knowledge repositories and thematic categorization, as well as strategies for knowledge sharing and utilization. While awaiting to delineate them at landscape level during the upcoming reporting period, the project has actively documented best practices and lessons learned during the reporting period, including process documentation, photos, and audio recordings.</w:t>
            </w:r>
            <w:r>
              <w:t xml:space="preserve"> Dissemination occurred through the Foundation for the Philippine Environment (FPE) Facebook page, as well as cross-posting of selected content on the pages of relevant stakeholders.</w:t>
            </w:r>
          </w:p>
          <w:p w:rsidR="00D802A4" w:rsidRDefault="00D802A4" w14:paraId="04FCD7B3" w14:textId="77777777"/>
          <w:p w:rsidR="00D802A4" w:rsidRDefault="005650D6" w14:paraId="72EBAEEA" w14:textId="77777777">
            <w:r>
              <w:t>All information above is supported by evidence Annex 16 - J2 Knowledge Management and Communications available at:  https://dub.sh/PIMS6254-Annex16</w:t>
            </w:r>
          </w:p>
        </w:tc>
        <w:tc>
          <w:tcPr>
            <w:tcW w:w="4000" w:type="dxa"/>
            <w:noWrap/>
          </w:tcPr>
          <w:p w:rsidR="00D802A4" w:rsidRDefault="005650D6" w14:paraId="56A22C62" w14:textId="77777777">
            <w:r>
              <w:t>Target achieved.</w:t>
            </w:r>
          </w:p>
          <w:p w:rsidR="00D802A4" w:rsidRDefault="00D802A4" w14:paraId="268DA2AA" w14:textId="77777777"/>
          <w:p w:rsidR="00D802A4" w:rsidRDefault="005650D6" w14:paraId="22A61F4A" w14:textId="77777777">
            <w:r>
              <w:t>Cumulative progress since project start as of Jun 30, 2025: 7 gender-responsive knowledge management and communication strategies (100% of EOP target), with:</w:t>
            </w:r>
          </w:p>
          <w:p w:rsidR="00D802A4" w:rsidRDefault="00D802A4" w14:paraId="5A0B10F4" w14:textId="77777777"/>
          <w:p w:rsidR="00D802A4" w:rsidRDefault="005650D6" w14:paraId="75964DE2" w14:textId="77777777">
            <w:r>
              <w:t>-</w:t>
            </w:r>
            <w:r>
              <w:tab/>
            </w:r>
            <w:r>
              <w:t>one umbrella knowledge management strategy;</w:t>
            </w:r>
          </w:p>
          <w:p w:rsidR="00D802A4" w:rsidRDefault="005650D6" w14:paraId="2236D0DD" w14:textId="77777777">
            <w:r>
              <w:t>-</w:t>
            </w:r>
            <w:r>
              <w:tab/>
            </w:r>
            <w:r>
              <w:t>one national communication strategy;</w:t>
            </w:r>
          </w:p>
          <w:p w:rsidR="00D802A4" w:rsidRDefault="005650D6" w14:paraId="2BF76835" w14:textId="77777777">
            <w:r>
              <w:t>-</w:t>
            </w:r>
            <w:r>
              <w:tab/>
            </w:r>
            <w:r>
              <w:t>one visibility and communications protocol; and</w:t>
            </w:r>
          </w:p>
          <w:p w:rsidR="00D802A4" w:rsidRDefault="005650D6" w14:paraId="4D657C64" w14:textId="77777777">
            <w:r>
              <w:t>-</w:t>
            </w:r>
            <w:r>
              <w:tab/>
            </w:r>
            <w:r>
              <w:t>four landscape-specific communication strategies.</w:t>
            </w:r>
          </w:p>
          <w:p w:rsidR="00D802A4" w:rsidRDefault="00D802A4" w14:paraId="4961D893" w14:textId="77777777"/>
          <w:p w:rsidR="00D802A4" w:rsidRDefault="005650D6" w14:paraId="49BE6DD9" w14:textId="77777777">
            <w:r>
              <w:t>During the reporting period, the project has achieved the EOP target for this indicator. Building on the drafts reported the previous year, and incorporating comments and feedback gathered from the implementing partner and agency, the project has compiled the national knowledge management strategy and national communication plan with a visibility and communications protocol. The templates for site-specific plans were also provided. These were presented to the PTRC and NSC in June 2025 with no further commen</w:t>
            </w:r>
            <w:r>
              <w:t>ts and suggestions by these bodies.</w:t>
            </w:r>
          </w:p>
          <w:p w:rsidR="00D802A4" w:rsidRDefault="00D802A4" w14:paraId="2988EDA2" w14:textId="77777777"/>
          <w:p w:rsidR="00D802A4" w:rsidRDefault="005650D6" w14:paraId="0511247D" w14:textId="77777777">
            <w:r>
              <w:t>In addition to these national documents, the four priority landscapes/seascapes have also sent in their site-specific communication plans. These plans localized the national documents, incorporating not only gender but also perspectives from vulnerable groups. The template for the site-specific plans ensures that it responds to the respective dynamics of the sites while maintaining standard information across all landscapes/seascapes.</w:t>
            </w:r>
          </w:p>
          <w:p w:rsidR="00D802A4" w:rsidRDefault="00D802A4" w14:paraId="7DB19192" w14:textId="77777777"/>
          <w:p w:rsidR="00D802A4" w:rsidRDefault="005650D6" w14:paraId="202A76CB" w14:textId="77777777">
            <w:r>
              <w:t>To further guide communication efforts, the visibility and communications protocol was developed to address the varied branding guidelines of the key stakeholders such as GEF, UNDP, Foundation for the Philippine Environment (FPE), DENR Biodiversity Management Bureau (BMB). Consolidating the brand requirements to a single reference helps with a unified and coherent representation of the relevant parties. Also provided in the protocol are guidance on the clearance process of communication materials, like when</w:t>
            </w:r>
            <w:r>
              <w:t xml:space="preserve"> approval is needed or not, or what content is for review. Additionally, the protocol includes consent forms that can be used as reference for certain activities, especially in working with IPs and minors. Information standards for attendance sheets are also specified–such as gender, age, IP or non-IP, consent on photos/videos– to support monitoring and evaluation (M&amp;E) as means of verification (MOVs).</w:t>
            </w:r>
          </w:p>
          <w:p w:rsidR="00D802A4" w:rsidRDefault="00D802A4" w14:paraId="181BFAAD" w14:textId="77777777"/>
          <w:p w:rsidR="00D802A4" w:rsidRDefault="005650D6" w14:paraId="046C89C8" w14:textId="77777777">
            <w:r>
              <w:t>The umbrella KMC strategy and plans collectively outline systems for capturing, organizing, and disseminating knowledge across the national and landscape levels. This includes the establishment of repositories, continuous documentation of best practices and lessons learned, and the use of multiple channels to share and apply project-generated knowledge. It also prepares to systematically integrate lessons into case studies and materials.</w:t>
            </w:r>
          </w:p>
          <w:p w:rsidR="00D802A4" w:rsidRDefault="00D802A4" w14:paraId="52EE6358" w14:textId="77777777"/>
          <w:p w:rsidR="00D802A4" w:rsidRDefault="005650D6" w14:paraId="1E660ED2" w14:textId="77777777">
            <w:r>
              <w:t>Voices from the ground, especially those of vulnerable groups, will be highlighted and will be brought into decision-making spaces through KMC. Both umbrella documents emphasize inclusivity to ensure that communication and knowledge-sharing efforts remain responsive to needs of stakeholders. In the KM strategy, Social Development and Inclusion is identified as a thematic area of exchange– with women leadership and economic empowerment as one of its key points. Under the theme Capacity Building and Organizat</w:t>
            </w:r>
            <w:r>
              <w:t>ional Strengthening, gender mainstreaming and inclusive development is added as one of its sub-themes as well. For communications, Inclusive and Participatory Development in the Communities Where Projects Are Implementing is a key communication theme which is broken down further by sub-themes: Gender mainstreaming and leadership of women, Contributions of persons with disabilities (PWDs) and elderly wisdom, empowerment of the youth in conservation, development of young leaders Rights of IPs, sharing of trad</w:t>
            </w:r>
            <w:r>
              <w:t>itional knowledge, and protection of their ancestral domains.</w:t>
            </w:r>
          </w:p>
        </w:tc>
      </w:tr>
      <w:tr w:rsidR="00D802A4" w14:paraId="3CCB92B2" w14:textId="77777777">
        <w:tc>
          <w:tcPr>
            <w:tcW w:w="4000" w:type="dxa"/>
            <w:noWrap/>
          </w:tcPr>
          <w:p w:rsidR="00D802A4" w:rsidRDefault="005650D6" w14:paraId="35645BF5" w14:textId="77777777">
            <w:r>
              <w:rPr>
                <w:b/>
                <w:bCs/>
              </w:rPr>
              <w:t>The progress of the objective/outcome can be described as:</w:t>
            </w:r>
          </w:p>
        </w:tc>
        <w:tc>
          <w:tcPr>
            <w:tcW w:w="12000" w:type="dxa"/>
            <w:gridSpan w:val="5"/>
            <w:noWrap/>
          </w:tcPr>
          <w:p w:rsidR="00D802A4" w:rsidRDefault="005650D6" w14:paraId="66288D8F" w14:textId="77777777">
            <w:r>
              <w:rPr>
                <w:b/>
                <w:bCs/>
              </w:rPr>
              <w:t>On track</w:t>
            </w:r>
          </w:p>
        </w:tc>
      </w:tr>
      <w:tr w:rsidR="00D802A4" w14:paraId="35817002" w14:textId="77777777">
        <w:tc>
          <w:tcPr>
            <w:tcW w:w="4000" w:type="dxa"/>
            <w:noWrap/>
          </w:tcPr>
          <w:p w:rsidR="00D802A4" w:rsidRDefault="005650D6" w14:paraId="68C79825" w14:textId="77777777">
            <w:r>
              <w:rPr>
                <w:b/>
                <w:bCs/>
              </w:rPr>
              <w:t>Evidence uploaded:</w:t>
            </w:r>
          </w:p>
        </w:tc>
        <w:tc>
          <w:tcPr>
            <w:tcW w:w="12000" w:type="dxa"/>
            <w:gridSpan w:val="5"/>
            <w:noWrap/>
          </w:tcPr>
          <w:p w:rsidR="00D802A4" w:rsidRDefault="005650D6" w14:paraId="4C24A958" w14:textId="77777777">
            <w:r>
              <w:t>YES</w:t>
            </w:r>
          </w:p>
        </w:tc>
      </w:tr>
    </w:tbl>
    <w:p w:rsidR="00D802A4" w:rsidRDefault="00D802A4" w14:paraId="41B2CACD" w14:textId="77777777">
      <w:pPr>
        <w:sectPr w:rsidR="00D802A4">
          <w:pgSz w:w="16837" w:h="11905" w:orient="landscape"/>
          <w:pgMar w:top="500" w:right="500" w:bottom="500" w:left="500" w:header="720" w:footer="720" w:gutter="0"/>
          <w:cols w:space="720"/>
        </w:sectPr>
      </w:pPr>
    </w:p>
    <w:p w:rsidR="00D802A4" w:rsidRDefault="005650D6" w14:paraId="031AFEA8" w14:textId="77777777">
      <w:pPr>
        <w:pStyle w:val="Heading1"/>
      </w:pPr>
      <w:bookmarkStart w:name="_Toc4" w:id="4"/>
      <w:r>
        <w:t>Finance/Co-Finance</w:t>
      </w:r>
      <w:bookmarkEnd w:id="4"/>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4496"/>
        <w:gridCol w:w="4497"/>
      </w:tblGrid>
      <w:tr w:rsidR="00D802A4" w14:paraId="59A5D425" w14:textId="77777777">
        <w:tc>
          <w:tcPr>
            <w:tcW w:w="5000" w:type="dxa"/>
            <w:noWrap/>
          </w:tcPr>
          <w:p w:rsidR="00D802A4" w:rsidRDefault="005650D6" w14:paraId="3DA820E3" w14:textId="77777777">
            <w:r>
              <w:t>Cumulative GL delivery against total approved amount (in prodoc):</w:t>
            </w:r>
          </w:p>
        </w:tc>
        <w:tc>
          <w:tcPr>
            <w:tcW w:w="5000" w:type="dxa"/>
            <w:noWrap/>
            <w:vAlign w:val="center"/>
          </w:tcPr>
          <w:p w:rsidR="00D802A4" w:rsidRDefault="005650D6" w14:paraId="76028499" w14:textId="77777777">
            <w:pPr>
              <w:jc w:val="right"/>
            </w:pPr>
            <w:r>
              <w:t>41.45%</w:t>
            </w:r>
          </w:p>
        </w:tc>
      </w:tr>
      <w:tr w:rsidR="00D802A4" w14:paraId="49801183" w14:textId="77777777">
        <w:tc>
          <w:tcPr>
            <w:tcW w:w="5000" w:type="dxa"/>
            <w:noWrap/>
          </w:tcPr>
          <w:p w:rsidR="00D802A4" w:rsidRDefault="005650D6" w14:paraId="49C8854E" w14:textId="77777777">
            <w:r>
              <w:t>Cumulative GL delivery against expected delivery as of this year:</w:t>
            </w:r>
          </w:p>
        </w:tc>
        <w:tc>
          <w:tcPr>
            <w:tcW w:w="5000" w:type="dxa"/>
            <w:noWrap/>
            <w:vAlign w:val="center"/>
          </w:tcPr>
          <w:p w:rsidR="00D802A4" w:rsidRDefault="005650D6" w14:paraId="2CAED076" w14:textId="77777777">
            <w:pPr>
              <w:jc w:val="right"/>
            </w:pPr>
            <w:r>
              <w:t>41.45%</w:t>
            </w:r>
          </w:p>
        </w:tc>
      </w:tr>
      <w:tr w:rsidR="00D802A4" w14:paraId="18A88A0C" w14:textId="77777777">
        <w:tc>
          <w:tcPr>
            <w:tcW w:w="5000" w:type="dxa"/>
            <w:noWrap/>
            <w:vAlign w:val="center"/>
          </w:tcPr>
          <w:p w:rsidR="00D802A4" w:rsidRDefault="005650D6" w14:paraId="512CB5D7" w14:textId="77777777">
            <w:r>
              <w:t>Cumulative disbursement as of Jun 30, 2025:</w:t>
            </w:r>
          </w:p>
          <w:p w:rsidR="00D802A4" w:rsidRDefault="005650D6" w14:paraId="3B48DE7C" w14:textId="77777777">
            <w:r>
              <w:rPr>
                <w:i/>
                <w:iCs/>
              </w:rPr>
              <w:t xml:space="preserve"> *Disbursement for the FY 2025 period is an estimate as books for UNDP Q2 2025 are not yet closed.</w:t>
            </w:r>
          </w:p>
        </w:tc>
        <w:tc>
          <w:tcPr>
            <w:tcW w:w="5000" w:type="dxa"/>
            <w:noWrap/>
            <w:vAlign w:val="center"/>
          </w:tcPr>
          <w:p w:rsidR="00D802A4" w:rsidRDefault="005650D6" w14:paraId="758C0BAB" w14:textId="77777777">
            <w:pPr>
              <w:jc w:val="right"/>
            </w:pPr>
            <w:r>
              <w:t>1,838,590</w:t>
            </w:r>
          </w:p>
        </w:tc>
      </w:tr>
    </w:tbl>
    <w:p w:rsidR="00D802A4" w:rsidRDefault="005650D6" w14:paraId="14C4A9A1" w14:textId="77777777">
      <w:pPr>
        <w:pStyle w:val="Heading2"/>
      </w:pPr>
      <w:bookmarkStart w:name="_Toc5" w:id="5"/>
      <w:r>
        <w:t>Key Financing Amounts</w:t>
      </w:r>
      <w:bookmarkEnd w:id="5"/>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4496"/>
        <w:gridCol w:w="4497"/>
      </w:tblGrid>
      <w:tr w:rsidR="00D802A4" w14:paraId="1ED629DF" w14:textId="77777777">
        <w:tc>
          <w:tcPr>
            <w:tcW w:w="5000" w:type="dxa"/>
            <w:noWrap/>
          </w:tcPr>
          <w:p w:rsidR="00D802A4" w:rsidRDefault="005650D6" w14:paraId="57AC52F7" w14:textId="77777777">
            <w:r>
              <w:t>PPG Amount</w:t>
            </w:r>
          </w:p>
        </w:tc>
        <w:tc>
          <w:tcPr>
            <w:tcW w:w="5000" w:type="dxa"/>
            <w:noWrap/>
            <w:vAlign w:val="center"/>
          </w:tcPr>
          <w:p w:rsidR="00D802A4" w:rsidRDefault="005650D6" w14:paraId="08F7A088" w14:textId="77777777">
            <w:pPr>
              <w:jc w:val="right"/>
            </w:pPr>
            <w:r>
              <w:t>130,000</w:t>
            </w:r>
          </w:p>
        </w:tc>
      </w:tr>
      <w:tr w:rsidR="00D802A4" w14:paraId="1320C636" w14:textId="77777777">
        <w:tc>
          <w:tcPr>
            <w:tcW w:w="5000" w:type="dxa"/>
            <w:noWrap/>
          </w:tcPr>
          <w:p w:rsidR="00D802A4" w:rsidRDefault="005650D6" w14:paraId="191106C9" w14:textId="77777777">
            <w:r>
              <w:t>GEF Grant Amount</w:t>
            </w:r>
          </w:p>
        </w:tc>
        <w:tc>
          <w:tcPr>
            <w:tcW w:w="5000" w:type="dxa"/>
            <w:noWrap/>
            <w:vAlign w:val="center"/>
          </w:tcPr>
          <w:p w:rsidR="00D802A4" w:rsidRDefault="005650D6" w14:paraId="3D3E1E64" w14:textId="77777777">
            <w:pPr>
              <w:jc w:val="right"/>
            </w:pPr>
            <w:r>
              <w:t>4,436,210</w:t>
            </w:r>
          </w:p>
        </w:tc>
      </w:tr>
      <w:tr w:rsidR="00D802A4" w14:paraId="1E357BB0" w14:textId="77777777">
        <w:tc>
          <w:tcPr>
            <w:tcW w:w="5000" w:type="dxa"/>
            <w:noWrap/>
          </w:tcPr>
          <w:p w:rsidR="00D802A4" w:rsidRDefault="005650D6" w14:paraId="6B60BDF6" w14:textId="77777777">
            <w:r>
              <w:t>Co-financing</w:t>
            </w:r>
          </w:p>
        </w:tc>
        <w:tc>
          <w:tcPr>
            <w:tcW w:w="5000" w:type="dxa"/>
            <w:noWrap/>
            <w:vAlign w:val="center"/>
          </w:tcPr>
          <w:p w:rsidR="00D802A4" w:rsidRDefault="005650D6" w14:paraId="796476FB" w14:textId="77777777">
            <w:pPr>
              <w:jc w:val="right"/>
            </w:pPr>
            <w:r>
              <w:t>9,214,359</w:t>
            </w:r>
          </w:p>
        </w:tc>
      </w:tr>
    </w:tbl>
    <w:p w:rsidR="00D802A4" w:rsidRDefault="00D802A4" w14:paraId="04D6D633" w14:textId="77777777">
      <w:pPr>
        <w:sectPr w:rsidR="00D802A4">
          <w:pgSz w:w="11905" w:h="16837" w:orient="portrait"/>
          <w:pgMar w:top="1440" w:right="1440" w:bottom="1440" w:left="1440" w:header="720" w:footer="720" w:gutter="0"/>
          <w:cols w:space="720"/>
        </w:sectPr>
      </w:pPr>
    </w:p>
    <w:p w:rsidR="00D802A4" w:rsidRDefault="005650D6" w14:paraId="40E40C0A" w14:textId="77777777">
      <w:pPr>
        <w:pStyle w:val="Heading1"/>
      </w:pPr>
      <w:bookmarkStart w:name="_Toc6" w:id="6"/>
      <w:r>
        <w:t>Implementation Progress</w:t>
      </w:r>
      <w:bookmarkEnd w:id="6"/>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8993"/>
      </w:tblGrid>
      <w:tr w:rsidR="00D802A4" w14:paraId="52528D33" w14:textId="77777777">
        <w:tc>
          <w:tcPr>
            <w:tcW w:w="10000" w:type="dxa"/>
            <w:shd w:val="clear" w:color="auto" w:fill="D9D9D9"/>
            <w:noWrap/>
          </w:tcPr>
          <w:p w:rsidR="00D802A4" w:rsidRDefault="005650D6" w14:paraId="07AEA73D" w14:textId="77777777">
            <w:r>
              <w:rPr>
                <w:b/>
                <w:bCs/>
              </w:rPr>
              <w:t>Project Manager: Please provide comments on delays with outputs/activities during the period 1 July 2024 through 30 June 2025.  If there were no delays, please indicate 'not applicable'.</w:t>
            </w:r>
          </w:p>
        </w:tc>
      </w:tr>
      <w:tr w:rsidR="00D802A4" w14:paraId="4674C870" w14:textId="77777777">
        <w:tc>
          <w:tcPr>
            <w:tcW w:w="10000" w:type="dxa"/>
            <w:noWrap/>
          </w:tcPr>
          <w:p w:rsidR="00D802A4" w:rsidRDefault="005650D6" w14:paraId="43FFC6A7" w14:textId="77777777">
            <w:r>
              <w:t>The project has achieved seven out of 16 mandatory indicators during this reporting period and the remaining nine are still on track with five indicators having more than 50% accomplishment and four others with accomplishment less than 50%.By these figures, there were no substantial delays in terms of project implementation and in achieving all the mandatory indicators. The targets could be achieved since out of 45 approved grants, only 17 grantees have contributed in achieving the targets as of this report</w:t>
            </w:r>
            <w:r>
              <w:t>ing period. Most of the approved grants are still implementing preliminary activities that would lead to achieving their targets, as provided in their project proposals.</w:t>
            </w:r>
          </w:p>
        </w:tc>
      </w:tr>
      <w:tr w:rsidR="00D802A4" w14:paraId="4D230FF1" w14:textId="77777777">
        <w:tc>
          <w:tcPr>
            <w:tcW w:w="10000" w:type="dxa"/>
            <w:shd w:val="clear" w:color="auto" w:fill="D9D9D9"/>
            <w:noWrap/>
          </w:tcPr>
          <w:p w:rsidR="00D802A4" w:rsidRDefault="005650D6" w14:paraId="093A4D61" w14:textId="77777777">
            <w:r>
              <w:rPr>
                <w:b/>
                <w:bCs/>
              </w:rPr>
              <w:t>CO Programme Officer: Please include specific measures to manage the project's implementation performance</w:t>
            </w:r>
          </w:p>
          <w:p w:rsidR="00D802A4" w:rsidRDefault="00D802A4" w14:paraId="1CB729CE" w14:textId="77777777"/>
          <w:p w:rsidR="00D802A4" w:rsidRDefault="00D802A4" w14:paraId="39CB73B7" w14:textId="77777777"/>
        </w:tc>
      </w:tr>
      <w:tr w:rsidR="00D802A4" w14:paraId="1D582AEE" w14:textId="77777777">
        <w:tc>
          <w:tcPr>
            <w:tcW w:w="10000" w:type="dxa"/>
            <w:noWrap/>
          </w:tcPr>
          <w:p w:rsidR="00D802A4" w:rsidRDefault="005650D6" w14:paraId="55276FEF" w14:textId="77777777">
            <w:r>
              <w:t>Below are measures to be undertaken to improve the Project’s performance on delivery of results:</w:t>
            </w:r>
          </w:p>
          <w:p w:rsidR="00D802A4" w:rsidRDefault="005650D6" w14:paraId="64FE066E" w14:textId="77777777">
            <w:r>
              <w:t>•</w:t>
            </w:r>
            <w:r>
              <w:tab/>
            </w:r>
            <w:r>
              <w:t>UNDP CO as member of the National Steering Committee (NSC) to fast trak approval of grants to utilize remaining grant resources. To date, 90.12% of the fund intended for the grants has been committed to the grants approved. To provide some time for grant implementation, these resources need to be obligated to grants no later than 3rd Quarter of 2025.</w:t>
            </w:r>
          </w:p>
          <w:p w:rsidR="00D802A4" w:rsidRDefault="005650D6" w14:paraId="0049854E" w14:textId="77777777">
            <w:r>
              <w:t>•</w:t>
            </w:r>
            <w:r>
              <w:tab/>
            </w:r>
            <w:r>
              <w:t>UNDP CO to organize with FPE joint monitoring visits to monitor and validate key milestones of grant implementation activities. These will be conducted with the participation of members of Project Technical Review Committee (PTRC) and National Steering Committee. These joining monitoring visits will also serve as spot checks of status of utilization of grant resources in preparation for scheduled annual audit exercise for the Project.</w:t>
            </w:r>
          </w:p>
          <w:p w:rsidR="00D802A4" w:rsidRDefault="005650D6" w14:paraId="1F8B9E8F" w14:textId="77777777">
            <w:r>
              <w:t>•</w:t>
            </w:r>
            <w:r>
              <w:tab/>
            </w:r>
            <w:r>
              <w:t>Linking with NGAs – national and local levels – will also be undertaken to provide additional assistance to CSO partners. Competencies of the Department of Trade and Industry (DTI), Department of Tourism (DOT) and the Biodiversity Management Bureau (BMB) on enterprise development, ecotourism activities and Biodiversity-Friendly Enterprises (BDFEs) will be tapped to ask assistance from these on capacity-building sessions.</w:t>
            </w:r>
          </w:p>
          <w:p w:rsidR="00D802A4" w:rsidRDefault="005650D6" w14:paraId="4A4EA7A5" w14:textId="77777777">
            <w:r>
              <w:t>•</w:t>
            </w:r>
            <w:r>
              <w:tab/>
            </w:r>
            <w:r>
              <w:t>Regular check-ins meeting with NGO Hubs. Regular check-in meetings among UNDP CO, FPE and PMU will be scheduled to ensure grant implementation activities are moving, concerns and issues addressed at the onset, and technical assistance provided.</w:t>
            </w:r>
          </w:p>
          <w:p w:rsidR="00D802A4" w:rsidRDefault="005650D6" w14:paraId="4682490C" w14:textId="77777777">
            <w:r>
              <w:t>•</w:t>
            </w:r>
            <w:r>
              <w:tab/>
            </w:r>
            <w:r>
              <w:t>Safeguards measures have to be set-up, implementation accelerated and strengthened now that grant implementation activities are underway. The NGO Hubs will be coached on this by UNDP CO, FPE and PMU. Regular check-in meetings and reporting on safeguards will be ensured in PTRC and NSC meetings.</w:t>
            </w:r>
          </w:p>
          <w:p w:rsidR="00D802A4" w:rsidRDefault="00D802A4" w14:paraId="0F391E9D" w14:textId="77777777"/>
        </w:tc>
      </w:tr>
      <w:tr w:rsidR="00D802A4" w14:paraId="20FF4989" w14:textId="77777777">
        <w:tc>
          <w:tcPr>
            <w:tcW w:w="10000" w:type="dxa"/>
            <w:shd w:val="clear" w:color="auto" w:fill="D9D9D9"/>
            <w:noWrap/>
          </w:tcPr>
          <w:p w:rsidR="00D802A4" w:rsidRDefault="005650D6" w14:paraId="5A73A149" w14:textId="77777777">
            <w:r>
              <w:rPr>
                <w:b/>
                <w:bCs/>
              </w:rPr>
              <w:t>BPPS RTA: Please include specific measures to manage the project's implementation performance.</w:t>
            </w:r>
          </w:p>
        </w:tc>
      </w:tr>
      <w:tr w:rsidR="00D802A4" w14:paraId="484E4D6C" w14:textId="77777777">
        <w:tc>
          <w:tcPr>
            <w:tcW w:w="10000" w:type="dxa"/>
            <w:noWrap/>
          </w:tcPr>
          <w:p w:rsidR="00D802A4" w:rsidRDefault="005650D6" w14:paraId="7CB4C257" w14:textId="77777777">
            <w:r>
              <w:t>During the reporting period, the project made decent progress toward achieving its end-of-project targets. This advancement was supported by technical assistance, capacity-building efforts, and ongoing communication with key stakeholders, including community-based organizations (CBOs). As a result, the project navigated its third year of implementation with relative ease.</w:t>
            </w:r>
          </w:p>
          <w:p w:rsidR="00D802A4" w:rsidRDefault="00D802A4" w14:paraId="3D907EF0" w14:textId="77777777"/>
          <w:p w:rsidR="00D802A4" w:rsidRDefault="005650D6" w14:paraId="6B629646" w14:textId="77777777">
            <w:r>
              <w:t>However, the delayed approval of grants by the National Steering Committee (NSC) impacted the timeline, leading to challenges that have not yet been fully addressed.</w:t>
            </w:r>
          </w:p>
          <w:p w:rsidR="00D802A4" w:rsidRDefault="00D802A4" w14:paraId="402BFA82" w14:textId="77777777"/>
          <w:p w:rsidR="00D802A4" w:rsidRDefault="005650D6" w14:paraId="72362976" w14:textId="77777777">
            <w:r>
              <w:t>Encouragingly, the majority of grants are now under implementation, and financial commitments have significantly increased. This is expected to accelerate financial delivery in the coming year. The Mid-Term Review (MTR), conducted during the reporting period, outlines specific actions in its management response that should be prioritized in the next phase.</w:t>
            </w:r>
          </w:p>
          <w:p w:rsidR="00D802A4" w:rsidRDefault="00D802A4" w14:paraId="22E184B6" w14:textId="77777777"/>
          <w:p w:rsidR="00D802A4" w:rsidRDefault="005650D6" w14:paraId="40AD02B9" w14:textId="77777777">
            <w:r>
              <w:t>To this end, the project is strongly encouraged to maintain momentum and ensure the expedited implementation of grant activities on the ground to enhance financial delivery. Continued efforts toward meeting co-financing targets, as outlined in the ProDoc, are also essential. It remains critical to keep the NSC, UNDP Country Office, and Regional Technical Advisor informed of any developments or challenges encountered during implementation.</w:t>
            </w:r>
          </w:p>
        </w:tc>
      </w:tr>
    </w:tbl>
    <w:p w:rsidR="00D802A4" w:rsidRDefault="00D802A4" w14:paraId="7EFCF662" w14:textId="77777777">
      <w:pPr>
        <w:sectPr w:rsidR="00D802A4">
          <w:pgSz w:w="11905" w:h="16837" w:orient="portrait"/>
          <w:pgMar w:top="1440" w:right="1440" w:bottom="1440" w:left="1440" w:header="720" w:footer="720" w:gutter="0"/>
          <w:cols w:space="720"/>
        </w:sectPr>
      </w:pPr>
    </w:p>
    <w:p w:rsidR="00D802A4" w:rsidRDefault="005650D6" w14:paraId="4984F8C0" w14:textId="77777777">
      <w:pPr>
        <w:pStyle w:val="Heading1"/>
      </w:pPr>
      <w:bookmarkStart w:name="_Toc7" w:id="7"/>
      <w:r>
        <w:t>Project Governance</w:t>
      </w:r>
      <w:bookmarkEnd w:id="7"/>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8993"/>
      </w:tblGrid>
      <w:tr w:rsidR="00D802A4" w14:paraId="11E53E58" w14:textId="77777777">
        <w:tc>
          <w:tcPr>
            <w:tcW w:w="10000" w:type="dxa"/>
            <w:shd w:val="clear" w:color="auto" w:fill="D9D9D9"/>
            <w:noWrap/>
          </w:tcPr>
          <w:p w:rsidR="00D802A4" w:rsidRDefault="005650D6" w14:paraId="0D47ADDA" w14:textId="77777777">
            <w:r>
              <w:rPr>
                <w:b/>
                <w:bCs/>
              </w:rPr>
              <w:t>1) Please enter the dates of Project Board meetings during the reporting period (1 July 2024 to 30 June 2025)</w:t>
            </w:r>
          </w:p>
        </w:tc>
      </w:tr>
      <w:tr w:rsidR="00D802A4" w14:paraId="58B60F30" w14:textId="77777777">
        <w:tc>
          <w:tcPr>
            <w:tcW w:w="10000" w:type="dxa"/>
            <w:noWrap/>
          </w:tcPr>
          <w:p w:rsidR="00D802A4" w:rsidRDefault="005650D6" w14:paraId="229567A6" w14:textId="77777777">
            <w:r>
              <w:t>2024-07-10</w:t>
            </w:r>
          </w:p>
        </w:tc>
      </w:tr>
      <w:tr w:rsidR="00D802A4" w14:paraId="2F47D5F6" w14:textId="77777777">
        <w:tc>
          <w:tcPr>
            <w:tcW w:w="10000" w:type="dxa"/>
            <w:noWrap/>
          </w:tcPr>
          <w:p w:rsidR="00D802A4" w:rsidRDefault="005650D6" w14:paraId="5B719401" w14:textId="77777777">
            <w:r>
              <w:t>2024-09-11</w:t>
            </w:r>
          </w:p>
        </w:tc>
      </w:tr>
      <w:tr w:rsidR="00D802A4" w14:paraId="6F0405C9" w14:textId="77777777">
        <w:tc>
          <w:tcPr>
            <w:tcW w:w="10000" w:type="dxa"/>
            <w:noWrap/>
          </w:tcPr>
          <w:p w:rsidR="00D802A4" w:rsidRDefault="005650D6" w14:paraId="71E811E9" w14:textId="77777777">
            <w:r>
              <w:t>2024-11-20</w:t>
            </w:r>
          </w:p>
        </w:tc>
      </w:tr>
    </w:tbl>
    <w:p w:rsidR="00D802A4" w:rsidRDefault="00D802A4" w14:paraId="085EF0AD" w14:textId="77777777">
      <w:pPr>
        <w:sectPr w:rsidR="00D802A4">
          <w:pgSz w:w="11905" w:h="16837" w:orient="portrait"/>
          <w:pgMar w:top="1440" w:right="1440" w:bottom="1440" w:left="1440" w:header="720" w:footer="720" w:gutter="0"/>
          <w:cols w:space="720"/>
        </w:sectPr>
      </w:pPr>
    </w:p>
    <w:p w:rsidR="00D802A4" w:rsidRDefault="005650D6" w14:paraId="3D43CBAE" w14:textId="77777777">
      <w:pPr>
        <w:pStyle w:val="Heading1"/>
      </w:pPr>
      <w:bookmarkStart w:name="_Toc8" w:id="8"/>
      <w:r>
        <w:t>Ratings and Overall Assessments</w:t>
      </w:r>
      <w:bookmarkEnd w:id="8"/>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3625"/>
        <w:gridCol w:w="3624"/>
        <w:gridCol w:w="3624"/>
      </w:tblGrid>
      <w:tr w:rsidR="00D802A4" w14:paraId="4E717E74" w14:textId="77777777">
        <w:tc>
          <w:tcPr>
            <w:tcW w:w="5000" w:type="dxa"/>
            <w:noWrap/>
          </w:tcPr>
          <w:p w:rsidR="00D802A4" w:rsidRDefault="005650D6" w14:paraId="6CE999D7" w14:textId="77777777">
            <w:r>
              <w:rPr>
                <w:b/>
                <w:bCs/>
              </w:rPr>
              <w:t>Role</w:t>
            </w:r>
          </w:p>
        </w:tc>
        <w:tc>
          <w:tcPr>
            <w:tcW w:w="5000" w:type="dxa"/>
            <w:noWrap/>
          </w:tcPr>
          <w:p w:rsidR="00D802A4" w:rsidRDefault="005650D6" w14:paraId="58BFBFD2" w14:textId="77777777">
            <w:r>
              <w:rPr>
                <w:b/>
                <w:bCs/>
              </w:rPr>
              <w:t>2025 Development Objective Progress Rating</w:t>
            </w:r>
          </w:p>
        </w:tc>
        <w:tc>
          <w:tcPr>
            <w:tcW w:w="5000" w:type="dxa"/>
            <w:noWrap/>
          </w:tcPr>
          <w:p w:rsidR="00D802A4" w:rsidRDefault="005650D6" w14:paraId="4F2EB8B9" w14:textId="77777777">
            <w:r>
              <w:rPr>
                <w:b/>
                <w:bCs/>
              </w:rPr>
              <w:t>2025 Implementation Progress Rating</w:t>
            </w:r>
          </w:p>
        </w:tc>
      </w:tr>
      <w:tr w:rsidR="00D802A4" w14:paraId="09386C11" w14:textId="77777777">
        <w:tc>
          <w:tcPr>
            <w:tcW w:w="5000" w:type="dxa"/>
            <w:noWrap/>
          </w:tcPr>
          <w:p w:rsidR="00D802A4" w:rsidRDefault="005650D6" w14:paraId="730CFB88" w14:textId="77777777">
            <w:r>
              <w:rPr>
                <w:b/>
                <w:bCs/>
              </w:rPr>
              <w:t>UNDP BPPS Technical Advisor</w:t>
            </w:r>
          </w:p>
        </w:tc>
        <w:tc>
          <w:tcPr>
            <w:tcW w:w="5000" w:type="dxa"/>
            <w:noWrap/>
          </w:tcPr>
          <w:p w:rsidR="00D802A4" w:rsidRDefault="005650D6" w14:paraId="541A96FA" w14:textId="77777777">
            <w:r>
              <w:t>Moderately Satisfactory</w:t>
            </w:r>
          </w:p>
        </w:tc>
        <w:tc>
          <w:tcPr>
            <w:tcW w:w="5000" w:type="dxa"/>
            <w:noWrap/>
          </w:tcPr>
          <w:p w:rsidR="00D802A4" w:rsidRDefault="005650D6" w14:paraId="1B1ED75B" w14:textId="77777777">
            <w:r>
              <w:t>Moderately Satisfactory</w:t>
            </w:r>
          </w:p>
        </w:tc>
      </w:tr>
    </w:tbl>
    <w:p w:rsidR="00D802A4" w:rsidRDefault="00D802A4" w14:paraId="54968FE2" w14:textId="77777777"/>
    <w:tbl>
      <w:tblPr>
        <w:tblW w:w="10873" w:type="dxa"/>
        <w:tblInd w:w="20" w:type="dxa"/>
        <w:tblBorders>
          <w:top w:val="single" w:color="000000" w:themeColor="text1" w:sz="5" w:space="0"/>
          <w:left w:val="single" w:color="000000" w:themeColor="text1" w:sz="5" w:space="0"/>
          <w:bottom w:val="single" w:color="000000" w:themeColor="text1" w:sz="5" w:space="0"/>
          <w:right w:val="single" w:color="000000" w:themeColor="text1" w:sz="5" w:space="0"/>
          <w:insideH w:val="single" w:color="000000" w:themeColor="text1" w:sz="5" w:space="0"/>
          <w:insideV w:val="single" w:color="000000" w:themeColor="text1" w:sz="5" w:space="0"/>
        </w:tblBorders>
        <w:tblCellMar>
          <w:top w:w="20" w:type="dxa"/>
          <w:left w:w="20" w:type="dxa"/>
          <w:bottom w:w="20" w:type="dxa"/>
          <w:right w:w="20" w:type="dxa"/>
        </w:tblCellMar>
        <w:tblLook w:val="04A0" w:firstRow="1" w:lastRow="0" w:firstColumn="1" w:lastColumn="0" w:noHBand="0" w:noVBand="1"/>
      </w:tblPr>
      <w:tblGrid>
        <w:gridCol w:w="3615"/>
        <w:gridCol w:w="7258"/>
      </w:tblGrid>
      <w:tr w:rsidR="00D802A4" w:rsidTr="33A03C51" w14:paraId="46D9B49C" w14:textId="77777777">
        <w:tc>
          <w:tcPr>
            <w:tcW w:w="3615" w:type="dxa"/>
            <w:noWrap/>
            <w:tcMar/>
          </w:tcPr>
          <w:p w:rsidR="00D802A4" w:rsidRDefault="005650D6" w14:paraId="2F1AA46C" w14:textId="77777777">
            <w:r>
              <w:rPr>
                <w:b/>
                <w:bCs/>
              </w:rPr>
              <w:t>Role</w:t>
            </w:r>
          </w:p>
        </w:tc>
        <w:tc>
          <w:tcPr>
            <w:tcW w:w="7258" w:type="dxa"/>
            <w:noWrap/>
            <w:tcMar/>
          </w:tcPr>
          <w:p w:rsidR="00D802A4" w:rsidRDefault="005650D6" w14:paraId="2C229C7A" w14:textId="77777777">
            <w:r>
              <w:rPr>
                <w:b/>
                <w:bCs/>
              </w:rPr>
              <w:t>2025 Overall Assessment</w:t>
            </w:r>
          </w:p>
        </w:tc>
      </w:tr>
      <w:tr w:rsidR="00D802A4" w:rsidTr="33A03C51" w14:paraId="4C6E605E" w14:textId="77777777">
        <w:tc>
          <w:tcPr>
            <w:tcW w:w="3615" w:type="dxa"/>
            <w:noWrap/>
            <w:tcMar/>
          </w:tcPr>
          <w:p w:rsidR="00D802A4" w:rsidRDefault="005650D6" w14:paraId="28F298AB" w14:textId="77777777">
            <w:r>
              <w:rPr>
                <w:b/>
                <w:bCs/>
              </w:rPr>
              <w:t>UNDP BPPS Technical Advisor</w:t>
            </w:r>
          </w:p>
        </w:tc>
        <w:tc>
          <w:tcPr>
            <w:tcW w:w="7258" w:type="dxa"/>
            <w:noWrap/>
            <w:tcMar/>
          </w:tcPr>
          <w:p w:rsidR="00D802A4" w:rsidRDefault="005650D6" w14:paraId="7DD7A358" w14:textId="77777777">
            <w:r>
              <w:t>This is the third PIR for the five-year Full Size Project Seventh Operational Phase of the GEF Small Grants Programme in the Philippines and the project is granted Moderately Satisfactory ratings (both DO and IP ratings). During the reporting period, the project made substantial progress, achieving and even exceeding several key GEF Core and Mandatory Indicator targets, driven largely by the awarding and implementation of 45 grants across four priority landscapes (Catubig Watershed Samar Island, Aurora Prov</w:t>
            </w:r>
            <w:r>
              <w:t>ince in the Sierra Madre, Siargao Island Protected Landscape/Seascape, Calamian Islands in Northern Palawan).</w:t>
            </w:r>
          </w:p>
          <w:p w:rsidR="00D802A4" w:rsidRDefault="00D802A4" w14:paraId="54A27542" w14:textId="77777777"/>
          <w:p w:rsidR="00D802A4" w:rsidRDefault="005650D6" w14:paraId="77793C6A" w14:textId="77777777">
            <w:r>
              <w:t>Regarding progress towards the overall objective of building socio-ecological resilience and economic resilience in four selected landscapes and seascapes through community-based activities for global environmental benefits and sustainable development, the project has made various gains. As of 30 June 2025, the project has reached 36,104 direct beneficiaries (surpassing its EOP target by 180.52%) including 17,953 women, 18,149 men, and 2 LGBTQIA+ individuals. This milestone was primarily achieved through th</w:t>
            </w:r>
            <w:r>
              <w:t>e efforts of 17 early-implementing grantees and their community partners, with further increases expected as the remaining approved grants progress in implementation. 173,560 indirect beneficiaries have also been reached (57.85% of the EOP target) including 85,531 women and 88,029 men, primarily through the efforts of 17 grantees and their partner organizations.</w:t>
            </w:r>
          </w:p>
          <w:p w:rsidR="00D802A4" w:rsidRDefault="005650D6" w14:paraId="010FADBD" w14:textId="77777777">
            <w:r>
              <w:t>These individuals benefited from the broader environmental and socio-economic impacts of project interventions, such as improved resource management, institutional capacity building, and promotion of sustainable, biodiversity-friendly practices. The project has restored 2,014.92 hectares of land to date, achieving 40.30% of the EOP target. Restoration efforts, including reforestation, mangrove rehabilitation, and watershed protection, were implemented by six grantees, with further gains anticipated as addit</w:t>
            </w:r>
            <w:r>
              <w:t>ional grantees begin similar activities. Additionally, the project has placed 84,100.30 hectares of land (129.38% of the EOP target) under improved practices through targeted biodiversity conservation interventions. These included community-based forest and watershed management, agroforestry, ancestral domain governance, and capacity building led by multiple grantees and local stakeholders, resulting in strengthened ecosystem management systems. Finally, 14,693.99 hectares of marine habitat are under improv</w:t>
            </w:r>
            <w:r>
              <w:t>ed practices, achieving 48.98% of the EOP target to benefit biodiversity. This was driven by two grantees focusing on enhanced marine governance, community engagement, and sustainable livelihoods, with expectations that additional grantees will contribute further improvements in the next reporting period.</w:t>
            </w:r>
          </w:p>
          <w:p w:rsidR="00D802A4" w:rsidRDefault="00D802A4" w14:paraId="5188EF78" w14:textId="77777777"/>
          <w:p w:rsidR="00D802A4" w:rsidRDefault="005650D6" w14:paraId="0D57B733" w14:textId="77777777">
            <w:r>
              <w:t xml:space="preserve">With regard to Outcome 1.1, which aims to establish resilient landscapes for sustainable development and global environmental protection, one of the three indicators has been achieved, and the remaining two are on track to be achieved by project termination. A total of 7,470 people across various communities have adopted biodiversity conservation, marine protection, and sustainable development practices, representing 62.25% of the EOP target, with interventions tailored to local ecosystems and livelihoods. </w:t>
            </w:r>
            <w:r>
              <w:t>The project exceeded its target by engaging 109 community organizations in improved land-use management practices, achieving 136% of the end-of-project goal despite only 17 grantees directly implementing activities. These included training Bantay Gubat volunteers for forest protection in Aurora, establishing agroecology learning farms through FPIC processes for Indigenous communities in CGI, and forming farmer groups promoting watershed management in Catubig. Ten projects reached 25% of the target by traini</w:t>
            </w:r>
            <w:r>
              <w:t>ng women in leadership, policy advocacy, agroforestry, and watershed management across Aurora, CGI, Catubig, and SIPLAS. Key activities included empowering over 2,600 women in SIPLAS through capacity-building and engaging women in environmental monitoring and community governance.</w:t>
            </w:r>
          </w:p>
          <w:p w:rsidR="00D802A4" w:rsidRDefault="00D802A4" w14:paraId="791BCDFB" w14:textId="77777777"/>
          <w:p w:rsidR="00D802A4" w:rsidRDefault="005650D6" w14:paraId="3ABA07B3" w14:textId="77777777">
            <w:r>
              <w:t xml:space="preserve">With respect to Outcome 1.2, which seeks to strengthen the sustainability of production systems through integrated agro-ecological practices, the indicator has been achieved and surpassed during the reporting period. Agroecological and ecosystem-based practices have been adopted by 5,253 farmers and fisherfolk (exceeding the EOP target by approximately 31%) through the efforts of five contributing grantees. These included regenerative farming and food forest systems in CGI, tree-based livelihood systems in </w:t>
            </w:r>
            <w:r>
              <w:t>Aurora, microfinance-linked conservation in Catubig, and agroforestry and coastal management under the PACBRMA framework in SIPLAS.</w:t>
            </w:r>
          </w:p>
          <w:p w:rsidR="00D802A4" w:rsidRDefault="00D802A4" w14:paraId="0DC63F10" w14:textId="77777777"/>
          <w:p w:rsidR="00D802A4" w:rsidRDefault="005650D6" w14:paraId="096E04E9" w14:textId="77777777">
            <w:r>
              <w:t>With regard to Outcome 1.3, improve livelihoods of communities by developing eco-friendly, climate-adaptive small-scale community enterprises with clear market linkages, all three targets are on track to be achieved by EOP. Seven biodiversity-friendly, value-added products were developed by the Egongot Tribe in Aurora Province using sustainably harvested sabutan, including handwoven mats, bags, hats, and slippers, demonstrating innovation rooted in traditional ecological knowledge. This number is expected t</w:t>
            </w:r>
            <w:r>
              <w:t>o grow significantly in the next reporting period, with at least 48 additional products in development by 10 other grantees focused on agro-ecological resource management. In addition, one profitable, biodiversity-friendly enterprise (DETFAWAI’s female-led sabutan handicraft initiative) was successfully upgraded into a grant-supported business that links forest conservation with climate resilience through sustainable harvesting and community stewardship. Eight other grants are expected to follow, with at le</w:t>
            </w:r>
            <w:r>
              <w:t>ast 12 more nature-based enterprises in development, including ecotourism, food production, and non-timber forest products. Overall, 14 of 45 approved grants (93.33% of the EOP target) supported socio-economic benefits and services for women, enhancing their access to sustainable livelihoods, conservation-linked services, and resource governance. Initiatives included training in agroforestry and handicrafts, inclusion in forest and marine co-management, participation in financial and digital literacy progra</w:t>
            </w:r>
            <w:r>
              <w:t>ms, and leadership roles in environmental decision-making and enterprise development.</w:t>
            </w:r>
          </w:p>
          <w:p w:rsidR="00D802A4" w:rsidRDefault="00D802A4" w14:paraId="5CBF05AE" w14:textId="77777777"/>
          <w:p w:rsidR="00D802A4" w:rsidRDefault="005650D6" w14:paraId="2749D667" w14:textId="77777777">
            <w:r>
              <w:t>Significant progress has also been made towards Outcome 2.1 which focuses on landscape governance and adaptive management for upscaling and replication with both targets achieved during the reporting period. Building on work completed during the previous PIR, five multi-stakeholder platforms are fully operational across the four SGP-7 landscapes, achieving 125% of the EOP target with 44.6% women’s participation. Capacity-building and proposal review workshops were conducted for each Landscape Round Table Co</w:t>
            </w:r>
            <w:r>
              <w:t>mmittee (LRTC), while operational responsibilities were gradually handed over to NGO hubs to strengthen local ownership and long-term sustainability of these governance structures. In conclusion, the four landscape strategies have met the EOP target, providing clear, gender-responsive frameworks that guide interventions addressing biodiversity, climate resilience, and sustainable livelihoods.</w:t>
            </w:r>
          </w:p>
          <w:p w:rsidR="00D802A4" w:rsidRDefault="00D802A4" w14:paraId="56B3005D" w14:textId="77777777"/>
          <w:p w:rsidR="00D802A4" w:rsidRDefault="005650D6" w14:paraId="2C21CC8C" w14:textId="77777777">
            <w:r>
              <w:t>Regarding Outcome 2.2, which aims to systematically assess and share knowledge from community level engagement and innovative conservation practices for upscaling, one target has been achieved and the other is on track to be achieved by EOP. While 0 landscape-level case studies which include best practices and lessons learned that can be upscaled at the policy-level, groundwork is already in motion and insights are currently being gathered in order to meet the target moving forward. Overall, the project has</w:t>
            </w:r>
            <w:r>
              <w:t xml:space="preserve"> fully met the EOP target by completing seven gender-responsive knowledge management and communication strategies. These comprise an umbrella knowledge management strategy, a national communication plan, a visibility protocol, and four landscape-specific communication strategies, all presented to the PTRC and NSC in June 2025.</w:t>
            </w:r>
          </w:p>
          <w:p w:rsidR="00D802A4" w:rsidRDefault="00D802A4" w14:paraId="27B0EBC1" w14:textId="77777777"/>
          <w:p w:rsidR="00D802A4" w:rsidRDefault="005650D6" w14:paraId="49511D3C" w14:textId="77777777">
            <w:r>
              <w:t xml:space="preserve">Knowledge Management: During this reporting period, the project achieved major milestones in knowledge management and communication (KMC), finalizing the National Communication Plan and Visibility and Communications Protocol, and advancing the National Knowledge Management Strategy with inputs from NGO Hubs. These strategies were presented to the NSC-PTRC in June 2025. The project also launched cross-site KM and communications planning and alignment workshops and has plans for knowledge exchanges, learning </w:t>
            </w:r>
            <w:r>
              <w:t>forums, and a market expo to promote biodiversity-friendly enterprises. Training needs for storytelling, content creation, and communication design were identified and are being addressed. Social media engagement grew significantly, supporting the project’s visibility and outreach. Documentation templates and monitoring tools were integrated to capture grantee progress and lessons learned.</w:t>
            </w:r>
          </w:p>
          <w:p w:rsidR="00D802A4" w:rsidRDefault="00D802A4" w14:paraId="47DB63A2" w14:textId="77777777"/>
          <w:p w:rsidR="00D802A4" w:rsidRDefault="005650D6" w14:paraId="468A19B7" w14:textId="77777777">
            <w:r>
              <w:t>Since its inception, SGP-7 has prioritized gender equality as a core principle, integrating women’s perspectives from planning to implementation across all priority landscapes and seascapes. Progress has been made in six key areas: capacity building, environmental planning, community engagement, organizational governance, communication, and conservation livelihoods. Notably, women have increasingly taken on leadership roles—such as being deputized as Bantay Gubat in Aurora and leading 31 of 53 food forest s</w:t>
            </w:r>
            <w:r>
              <w:t>ystems in CGI—challenging traditional gender norms. Female participation in community governance also rose, with 58% women attending the Kahiusa Summit in SIPLAS and 63% actively engaging in VCT elections in Catubig Watershed. These developments reflect strengthened gender-responsive governance, inclusive decision-making, and empowerment, with ongoing efforts promising further advancements toward equality as the project progresses.</w:t>
            </w:r>
          </w:p>
          <w:p w:rsidR="00D802A4" w:rsidRDefault="00D802A4" w14:paraId="3B094F7B" w14:textId="77777777"/>
          <w:p w:rsidR="00D802A4" w:rsidRDefault="005650D6" w14:paraId="6F3AFEE4" w14:textId="77777777">
            <w:r>
              <w:t>Implementation Progress: Overall, the project is managed and executed with a capable project team. With regards to the timing of project milestones, there are no major foreseeable delays which could impede delivery of project target goals, pending substantial follow up actions delineated in the risk management and IP rating sections. This is required to ensure that cumulative financial delivery, timing of key implementation milestones, and risk management remain on track.</w:t>
            </w:r>
          </w:p>
          <w:p w:rsidR="00D802A4" w:rsidRDefault="00D802A4" w14:paraId="45516F88" w14:textId="77777777"/>
          <w:p w:rsidR="00D802A4" w:rsidRDefault="005650D6" w14:paraId="6030943D" w14:textId="77777777">
            <w:r>
              <w:t>The NSC meetings under SGP-7 focused on strengthening stakeholder engagement throughout project implementation. The NSC reviewed grant proposals to ensure alignment with biodiversity conservation and community needs, emphasizing transparency, benefit-sharing, and capacity building. Progress includes five operational multi-stakeholder platforms, including four Landscape Round Table Committees (LRTCs) and the revitalized CSOs Alliance Network, achieving 46.5% women’s participation. NGO Hubs played a vital rol</w:t>
            </w:r>
            <w:r>
              <w:t>e in coordinating stakeholders, mapping, and promoting gender inclusion.</w:t>
            </w:r>
          </w:p>
          <w:p w:rsidR="00D802A4" w:rsidRDefault="00D802A4" w14:paraId="42B3CE36" w14:textId="77777777"/>
          <w:p w:rsidR="00D802A4" w:rsidRDefault="005650D6" w14:paraId="06FAD698" w14:textId="77777777">
            <w:r>
              <w:t>The total project co-financing is currently USD 3,087,591.91 in cash &amp; kind which adds up to approximately 33.51 % of the project total at project termination which is USD 9,214,359 at this stage of project implementation. The project team is encouraged to continue its efforts in mobilizing co-financing resources.</w:t>
            </w:r>
          </w:p>
          <w:p w:rsidR="00D802A4" w:rsidRDefault="005650D6" w14:paraId="60074B0D" w14:textId="77777777">
            <w:r>
              <w:t>----</w:t>
            </w:r>
          </w:p>
          <w:p w:rsidR="00D802A4" w:rsidRDefault="005650D6" w14:paraId="12D716A7" w14:textId="77777777">
            <w:r>
              <w:t>Challenges remain with delayed safeguard mechanisms and monitoring due to geographic spread. However, transitioning LRTC facilitation to local NGO hubs has deepened local ownership and enhanced multi-stakeholder collaboration.</w:t>
            </w:r>
          </w:p>
          <w:p w:rsidR="00D802A4" w:rsidRDefault="00D802A4" w14:paraId="608CD1D8" w14:textId="77777777"/>
          <w:p w:rsidR="00D802A4" w:rsidRDefault="005650D6" w14:paraId="155B28C2" w14:textId="77777777">
            <w:r>
              <w:t>Risks: Cumulative disbursement as of June 30 was at USD 1,838,590, representing 41.45% delivery against the total approved amount in the ProDoc and 41.45% against expected delivery as of this year.</w:t>
            </w:r>
          </w:p>
          <w:p w:rsidR="00D802A4" w:rsidRDefault="00D802A4" w14:paraId="6537536C" w14:textId="77777777"/>
          <w:p w:rsidR="00D802A4" w:rsidRDefault="005650D6" w14:paraId="168831E0" w14:textId="77777777">
            <w:r>
              <w:t>Recommendations: To sum up, the project has achieved a number of EOP targets during this reporting period, leaving it on track to deliver on remaining indicators by project closure. A number of recommendations are suggested below for adaptive management in the remaining of the project period:</w:t>
            </w:r>
          </w:p>
          <w:p w:rsidR="00D802A4" w:rsidRDefault="00D802A4" w14:paraId="01EE1779" w14:textId="77777777"/>
          <w:p w:rsidR="00D802A4" w:rsidRDefault="005650D6" w14:paraId="2607402B" w14:textId="77777777">
            <w:r>
              <w:t>1.</w:t>
            </w:r>
            <w:r>
              <w:tab/>
            </w:r>
            <w:r>
              <w:t>ensuring a smooth grant implementation and speedy financial delivery in the upcoming reporting period;</w:t>
            </w:r>
          </w:p>
          <w:p w:rsidR="00D802A4" w:rsidRDefault="005650D6" w14:paraId="7F3588D6" w14:textId="77777777">
            <w:r>
              <w:t>2.</w:t>
            </w:r>
            <w:r>
              <w:tab/>
            </w:r>
            <w:r>
              <w:t>accelerating its efforts to mobilize the amount of co-financing as listed in the project document;</w:t>
            </w:r>
          </w:p>
          <w:p w:rsidR="00D802A4" w:rsidRDefault="005650D6" w14:paraId="43CF7B12" w14:textId="77777777">
            <w:r>
              <w:t>3.</w:t>
            </w:r>
            <w:r>
              <w:tab/>
            </w:r>
            <w:r>
              <w:t>ensuring achievement of all End-Of-Project targets set in the project document;</w:t>
            </w:r>
          </w:p>
          <w:p w:rsidR="00D802A4" w:rsidRDefault="005650D6" w14:paraId="09B128A6" w14:textId="77777777">
            <w:r>
              <w:t>4.</w:t>
            </w:r>
            <w:r>
              <w:tab/>
            </w:r>
            <w:r>
              <w:t>closely coordinating with the new Responsible Party selected for OP-8, whenever relevant; and</w:t>
            </w:r>
          </w:p>
          <w:p w:rsidR="00D802A4" w:rsidRDefault="005650D6" w14:paraId="6C712A3D" w14:textId="77777777">
            <w:r>
              <w:t>5.</w:t>
            </w:r>
            <w:r>
              <w:tab/>
            </w:r>
            <w:r>
              <w:t>deliver the project terminal evaluation in a timely manner.</w:t>
            </w:r>
          </w:p>
        </w:tc>
      </w:tr>
      <w:tr w:rsidR="00D802A4" w:rsidTr="33A03C51" w14:paraId="24A498ED" w14:textId="77777777">
        <w:tc>
          <w:tcPr>
            <w:tcW w:w="3615" w:type="dxa"/>
            <w:noWrap/>
            <w:tcMar/>
          </w:tcPr>
          <w:p w:rsidR="00D802A4" w:rsidRDefault="005650D6" w14:paraId="4173D9E1" w14:textId="77777777">
            <w:r>
              <w:rPr>
                <w:b/>
                <w:bCs/>
              </w:rPr>
              <w:t>UNDP Country Office Programme Officer</w:t>
            </w:r>
          </w:p>
        </w:tc>
        <w:tc>
          <w:tcPr>
            <w:tcW w:w="7258" w:type="dxa"/>
            <w:noWrap/>
            <w:tcMar/>
          </w:tcPr>
          <w:p w:rsidR="00D802A4" w:rsidRDefault="005650D6" w14:paraId="147A5D84" w14:textId="77777777">
            <w:r>
              <w:t>While the Project encountered challenges in review and approval of grant proposals, the Project was able to catch up on ensuring that grant resources are committed within the reporting period. To note, there have been significant exchanges on the review and approval processes facilitated by the PMU. Weaknesses on these have been brought to the table by PTRC and NSC members. FPE and PMU have responded through corrective actions positively.</w:t>
            </w:r>
          </w:p>
          <w:p w:rsidR="00D802A4" w:rsidRDefault="00D802A4" w14:paraId="35623D16" w14:textId="77777777"/>
          <w:p w:rsidR="00D802A4" w:rsidRDefault="005650D6" w14:paraId="14CE4E4F" w14:textId="77777777">
            <w:r>
              <w:t>While most of the indicators have been achieved (given the 17 grants out of the 45 approved grants on which the indicators are being reported on), the completion of the grant projects and capturing results are yet to be achieved. Community benefits from these grants are also yet to be documented to look into the effectiveness of the grants provided. Given this scenario, it is important that, with UNDP CO oversight:</w:t>
            </w:r>
          </w:p>
          <w:p w:rsidR="00D802A4" w:rsidRDefault="005650D6" w14:paraId="499EF3F5" w14:textId="77777777">
            <w:r>
              <w:t>-</w:t>
            </w:r>
            <w:r>
              <w:tab/>
            </w:r>
            <w:r>
              <w:t xml:space="preserve">NGO Hubs, with support from the NGO Implementing Partner, i.e., the Foundation for the Philippine Environment or FPE, and the Project Management Unit (PMU), will develop Acceleration Work Plans for the Civil Society Organization (CSO) grantees vis-à-vis the remaining Project implementation period to ensure that intermediate results are achieved before Project’s closure. It should be emphasized that NGO Hubs’ roles are critical in ensuring strict monitoring of grant implementation activities, especially in </w:t>
            </w:r>
            <w:r>
              <w:t>highlighting the contributions of these approved grants to the four landscape strategies. FPE and PMU have to jointly work with NGO Hubs in carrying-out their mentorship role for the CSO partners.</w:t>
            </w:r>
          </w:p>
          <w:p w:rsidR="00D802A4" w:rsidRDefault="005650D6" w14:paraId="7201CDE0" w14:textId="77777777">
            <w:r>
              <w:t>-</w:t>
            </w:r>
            <w:r>
              <w:tab/>
            </w:r>
            <w:r>
              <w:t>The completion of strategic grants is also important as part of SGP’s scaling-up and/or replication strategy. NGO Hubs will have to ensure the interconnectivity of these strategic grants with the landscape strategies as part of sustainability mechanism.</w:t>
            </w:r>
          </w:p>
          <w:p w:rsidR="00D802A4" w:rsidRDefault="005650D6" w14:paraId="4A43FC57" w14:textId="77777777">
            <w:r>
              <w:t>-</w:t>
            </w:r>
            <w:r>
              <w:tab/>
            </w:r>
            <w:r>
              <w:t>Mobilizing the Landscape Review Technical Committees (LRTCs) as the multi-stakeholder platforms in the landscapes should be given a priority. This is to ensure strengthening of governance mechanisms. At the landscape level.</w:t>
            </w:r>
          </w:p>
          <w:p w:rsidR="00D802A4" w:rsidRDefault="00D802A4" w14:paraId="2D347A16" w14:textId="77777777"/>
          <w:p w:rsidR="00D802A4" w:rsidRDefault="005650D6" w14:paraId="513C67B9" w14:textId="77777777">
            <w:r>
              <w:t>Key considerations, however, have to be noted to ensure a strong end of Project wins, including:</w:t>
            </w:r>
          </w:p>
          <w:p w:rsidR="00D802A4" w:rsidRDefault="00D802A4" w14:paraId="1563F3DC" w14:textId="77777777"/>
          <w:p w:rsidR="00D802A4" w:rsidRDefault="005650D6" w14:paraId="368EF59F" w14:textId="77777777">
            <w:r>
              <w:t>•</w:t>
            </w:r>
            <w:r>
              <w:tab/>
            </w:r>
            <w:r>
              <w:t>FPE Team should be the frontliner in ensuring that SGP7 Acceleration Plan is implemented. SGP7 should be able to benefit from the long experience of FPE in grant-making activities. The PMU, PTRC and NSC could have benefitted from FPE’s technical capacity support in-house to fast-track review of proposals and facilitate efficiency of the process. Moving forward, FPE has committed to undertake site monitoring activities and provide adequate technical support to ensure that grantees are able to achieve result</w:t>
            </w:r>
            <w:r>
              <w:t>s as programmed.</w:t>
            </w:r>
          </w:p>
          <w:p w:rsidR="00D802A4" w:rsidRDefault="005650D6" w14:paraId="25719F2B" w14:textId="77777777">
            <w:r>
              <w:t>•</w:t>
            </w:r>
            <w:r>
              <w:tab/>
            </w:r>
            <w:r>
              <w:t>The expected operational end date for OP7 is 31 December 2026. This means that all grant funds allocated to the country programmes for OP7 (CORE and STAR), must be fully committed by the NSC as soon as possible with all grant activities and disbursements completed by the end of 2026.</w:t>
            </w:r>
          </w:p>
          <w:p w:rsidR="00D802A4" w:rsidRDefault="005650D6" w14:paraId="12F3F643" w14:textId="77777777">
            <w:r>
              <w:t>•</w:t>
            </w:r>
            <w:r>
              <w:tab/>
            </w:r>
            <w:r>
              <w:t>It should be targeted that any new grant projects or amendments to existing ones should not have an end date beyond 30 June 2026 to safely allow for the scheduled operational closure of OP7 and its Partnership programmes. Possible extensions for up to 2 or 3 months may be granted only on an exceptional basis and with strong justification.</w:t>
            </w:r>
          </w:p>
          <w:p w:rsidR="00D802A4" w:rsidRDefault="005650D6" w14:paraId="343B2050" w14:textId="77777777">
            <w:r>
              <w:t>•</w:t>
            </w:r>
            <w:r>
              <w:tab/>
            </w:r>
            <w:r>
              <w:t>The SGP7 Acceleration Plan should include Component 1 and 2 Project implementation activities as target outputs will be measured per operational cycle. The roles of the NGO Hubs will be critical in accelerating the grant implementation activities and those pertaining to the LRTC governance-related mechanisms.</w:t>
            </w:r>
          </w:p>
          <w:p w:rsidR="00D802A4" w:rsidRDefault="005650D6" w14:paraId="5B536AD6" w14:textId="77777777">
            <w:r>
              <w:t>•</w:t>
            </w:r>
            <w:r>
              <w:tab/>
            </w:r>
            <w:r>
              <w:t>Tracking of grant implementation activities will need to be undertaken judiciously to ensure that grant resources are utilized by the period SGP7 ends. This can be done by the NGO hub with technical capacity support from FPE and subject matter experts to expedite the process of providing technical guidance to landscape-level grant implementation activities.</w:t>
            </w:r>
          </w:p>
          <w:p w:rsidR="00D802A4" w:rsidRDefault="005650D6" w14:paraId="2A36826A" w14:textId="77777777">
            <w:r>
              <w:t>•</w:t>
            </w:r>
            <w:r>
              <w:tab/>
            </w:r>
            <w:r>
              <w:t>It should be noted that the PMU has developed responsive Monitoring and Evaluation Plan, including a systematic grant tracking tool, and Communications and Knowledge Management Strategy. However, the Project Operations Manual has yet to be drafted and shared for review with the Country Office. It is imperative, while the Global Operations Manual is existing, that FPE ensures the finalization and completion of this Operations Manual no later that August 2025 since grant implementation activities are being u</w:t>
            </w:r>
            <w:r>
              <w:t>ndertaken.</w:t>
            </w:r>
          </w:p>
          <w:p w:rsidR="00D802A4" w:rsidRDefault="00D802A4" w14:paraId="0835DADA" w14:textId="77777777"/>
          <w:p w:rsidR="00D802A4" w:rsidRDefault="00D802A4" w14:paraId="1187DFE2" w14:textId="64CFCDD3">
            <w:r w:rsidR="005650D6">
              <w:rPr/>
              <w:t>-</w:t>
            </w:r>
          </w:p>
        </w:tc>
      </w:tr>
      <w:tr w:rsidR="00D802A4" w:rsidTr="33A03C51" w14:paraId="07D3A3FC" w14:textId="77777777">
        <w:tc>
          <w:tcPr>
            <w:tcW w:w="3615" w:type="dxa"/>
            <w:noWrap/>
            <w:tcMar/>
          </w:tcPr>
          <w:p w:rsidR="00D802A4" w:rsidRDefault="005650D6" w14:paraId="598B7BEF" w14:textId="77777777">
            <w:r>
              <w:rPr>
                <w:b/>
                <w:bCs/>
              </w:rPr>
              <w:t>Project Manager/Coordinator</w:t>
            </w:r>
          </w:p>
        </w:tc>
        <w:tc>
          <w:tcPr>
            <w:tcW w:w="7258" w:type="dxa"/>
            <w:noWrap/>
            <w:tcMar/>
          </w:tcPr>
          <w:p w:rsidR="00D802A4" w:rsidRDefault="005650D6" w14:paraId="571E76BC" w14:textId="77777777">
            <w:r>
              <w:t>The project achieved key milestones during this reporting period as seven out of 16 applicable GEF Core and Mandatory Indicator EOP targets have already been achieved - five of which exceeded the expected targets. The achievement of these targets have been made possible with the approval, awarding and ongoing implementation of 45 grants to Civil Society Organizations across the four priority landscapes of the project - Aurora province, CGI, Catubig Watershed, and Siargao Island Protected Landscape and Seasc</w:t>
            </w:r>
            <w:r>
              <w:t>ape. The awarded grants, as of this reporting period, consisted of four Strategic Grants; 37 Regular Grants; and four Grants for Landscape Level NGO Hubs. The total amount allocated for these grants is US$ 2,812,324.91, which is about 90.12% of the fund intended for grants. Of these allocations, a total of US$ 2,043,266.19 has already been released to grantees during this reporting period including the five percent (5%) management fee of the Foundation for the Philippine Environment as an implementing partn</w:t>
            </w:r>
            <w:r>
              <w:t>er of the project and grant for the development of the country program strategy of the SGP-8.</w:t>
            </w:r>
          </w:p>
          <w:p w:rsidR="00D802A4" w:rsidRDefault="005650D6" w14:paraId="46BDEE40" w14:textId="77777777">
            <w:r>
              <w:t>The grantees, title or theme and cost of their projects are provided and uploaded as evidence.</w:t>
            </w:r>
          </w:p>
          <w:p w:rsidR="00D802A4" w:rsidRDefault="00D802A4" w14:paraId="7F69F2ED" w14:textId="77777777"/>
          <w:p w:rsidR="00D802A4" w:rsidRDefault="005650D6" w14:paraId="1E995A99" w14:textId="77777777">
            <w:r>
              <w:t>Targets Achieved</w:t>
            </w:r>
          </w:p>
          <w:p w:rsidR="00D802A4" w:rsidRDefault="00D802A4" w14:paraId="7C3553A7" w14:textId="77777777"/>
          <w:p w:rsidR="00D802A4" w:rsidRDefault="005650D6" w14:paraId="24D73717" w14:textId="77777777">
            <w:r>
              <w:t>It is worthy to note that the project has exceeded its target in providing direct benefits to 36,104 people (Core Indicator 1) in four priority landscapes with cumulative accomplishment of 180.52% of the EOP Target. These people received targeted support from the project, through the grants availed by their organizations, specifically interventions related to individual and institutional capacity building towards empowered communities and improved or enhanced management of their environment and natural reso</w:t>
            </w:r>
            <w:r>
              <w:t>urces.</w:t>
            </w:r>
          </w:p>
          <w:p w:rsidR="00D802A4" w:rsidRDefault="00D802A4" w14:paraId="6F6925C6" w14:textId="77777777"/>
          <w:p w:rsidR="00D802A4" w:rsidRDefault="005650D6" w14:paraId="2FDB1484" w14:textId="77777777">
            <w:r>
              <w:t>During this reporting period, the project similarly exceeded its accomplishment versus the EOP Target on Core Indicator 4, which is an area of landscapes under improved practices. As earlier presented, the project, through the different grantees and their partner communities, was able to place a total of 84,100.30 hectares (129.39 % of the EOP Target) of the four priority landscapes under improved practices by providing interventions that enhanced the management systems of these areas for purposes of biodiv</w:t>
            </w:r>
            <w:r>
              <w:t>ersity conservation. Maps of these areas are provided as evidence of the achievement of this indicator.</w:t>
            </w:r>
          </w:p>
          <w:p w:rsidR="00D802A4" w:rsidRDefault="00D802A4" w14:paraId="02AEE1E6" w14:textId="77777777"/>
          <w:p w:rsidR="00D802A4" w:rsidRDefault="005650D6" w14:paraId="0A1CF526" w14:textId="77777777">
            <w:r>
              <w:t>As of 30 June 2025, 109 community organizations were already leading and conducting improved land-use management practices. The figure represents 136% of the EOP target under Core Indicator 7. It should be noted that these organizations are not only the grantees, but include their partner organizations in various localities distributed as follows: 40 organizations in the Catubig Watershed, 37 in CGI, 22 in SIPLAS, and 10 in Aurora Province, all of them are already demonstrating strong community ownership an</w:t>
            </w:r>
            <w:r>
              <w:t>d cross-site implementation of sustainable land-use practices.</w:t>
            </w:r>
          </w:p>
          <w:p w:rsidR="00D802A4" w:rsidRDefault="00D802A4" w14:paraId="13F555F4" w14:textId="77777777"/>
          <w:p w:rsidR="00D802A4" w:rsidRDefault="005650D6" w14:paraId="45EF1D04" w14:textId="77777777">
            <w:r>
              <w:t>With the implementation of grants, a good number of farmers and fisherfolk within the landscape communities started to adopt agro-ecological/marine/coastal ecosystems-based technologies and systems which is the project’s Core Indicator 9. The cumulative progress, as of 30 June 2025, of this target was counted at 5,253 farmers and fisherfolk equivalent to 2,653 men (132.65% EOP) and  2,600 women (130% EOP) across the four project landscapes. This accomplishment comprised 131.33% of the total EOP Target.</w:t>
            </w:r>
          </w:p>
          <w:p w:rsidR="00D802A4" w:rsidRDefault="00D802A4" w14:paraId="0138F391" w14:textId="77777777"/>
          <w:p w:rsidR="00D802A4" w:rsidRDefault="005650D6" w14:paraId="00E4BA07" w14:textId="77777777">
            <w:r>
              <w:t xml:space="preserve">The project further made considerable accomplishment in the EOP Target under Core Indicator 13. To date, the target on the number of  multi-stakeholder platforms operational in each sub-landscape, with at least 40% participation of women, has been achieved. Five multi-stakeholder platforms are now operational in each sub-landscapes, comprising 125% of the EOP Target. Aside from previously reported four LRTCs that have been formed (one from each landscape/seascape) the project recognized a fifth operational </w:t>
            </w:r>
            <w:r>
              <w:t>platform organized in Catubig Watershed– the CSO Alliance Network, formed after the efforts made in SGP-5, has been strengthened and integrated in the Catubig Watershed Landscape Level NGO Hub operations of SGP-7. This network contributed to the coordination, proposal review and revisions, as well as in monitoring and evaluation of grants being implemented.</w:t>
            </w:r>
          </w:p>
          <w:p w:rsidR="00D802A4" w:rsidRDefault="00D802A4" w14:paraId="61C1426F" w14:textId="77777777"/>
          <w:p w:rsidR="00D802A4" w:rsidRDefault="005650D6" w14:paraId="4E1E81E3" w14:textId="77777777">
            <w:r>
              <w:t>The target has been achieved for Indicator 14, with four landscape strategies developed, one for each priority landscape/seascape, meeting 100% of the EOP goal. Each strategy was created through multi-stakeholder platforms with gender considerations and now guides grant proposal development and implementation. Approved initiatives align with local development needs and priorities, contributing to biodiversity conservation, sustainable livelihoods, and improved governance. Specific thematic interventions acr</w:t>
            </w:r>
            <w:r>
              <w:t>oss the sites include ecosystem restoration, biodiversity-friendly enterprises, ecotourism, waste management, and climate resilience, with implementation supported by community and CSO engagement</w:t>
            </w:r>
          </w:p>
          <w:p w:rsidR="00D802A4" w:rsidRDefault="00D802A4" w14:paraId="0369BFBB" w14:textId="77777777"/>
          <w:p w:rsidR="00D802A4" w:rsidRDefault="005650D6" w14:paraId="0AED0962" w14:textId="77777777">
            <w:r>
              <w:t>Finally, the project, as of this reporting period has achieved 100% of the target under Indicator 16, which is on gender responsive knowledge management and communication strategies. Cumulative progress since project start as of Jun 30, 2025: one gender-responsive national knowledge management strategy, one gender-responsive national communication plan, one visibility and communications protocol, and four landscape-specific communication plans (100% of the EOP Target). These were presented to the PTRC and N</w:t>
            </w:r>
            <w:r>
              <w:t>SC in June 2025 with no further comments and suggestions from the members of these committees. The KMC strategy and plans collectively outline systems for capturing, organizing, and disseminating knowledge across the national and landscape levels. This includes the establishment of repositories, continuous documentation of best practices and lessons learned, and the use of multiple channels to share and apply project-generated knowledge.</w:t>
            </w:r>
          </w:p>
          <w:p w:rsidR="00D802A4" w:rsidRDefault="00D802A4" w14:paraId="428D9AAA" w14:textId="77777777"/>
          <w:p w:rsidR="00D802A4" w:rsidRDefault="005650D6" w14:paraId="4D735016" w14:textId="77777777">
            <w:r>
              <w:t>Targets on track</w:t>
            </w:r>
          </w:p>
          <w:p w:rsidR="00D802A4" w:rsidRDefault="00D802A4" w14:paraId="5BD43E26" w14:textId="77777777"/>
          <w:p w:rsidR="00D802A4" w:rsidRDefault="005650D6" w14:paraId="78610FB1" w14:textId="77777777">
            <w:r>
              <w:t>During this reporting period, nine other Core Indicators are on track when it comes to achieving their corresponding targets. Five of these targets have accomplishments of more than 50% of the EOP Targets, three with less than 50% accomplishment of the EOP Targets, and one is still zero. However, the non-compliance of one target, to date, is understandable given that preparatory activities are still being undertaken. With the progress being made in the implementation of grants, it is expected that the remai</w:t>
            </w:r>
            <w:r>
              <w:t>ning Core Indicators and their respective EOP Targets shall be achieved without any foreseeable delays.</w:t>
            </w:r>
          </w:p>
          <w:p w:rsidR="00D802A4" w:rsidRDefault="00D802A4" w14:paraId="3EA3FBFA" w14:textId="77777777"/>
          <w:p w:rsidR="00D802A4" w:rsidRDefault="005650D6" w14:paraId="34067745" w14:textId="77777777">
            <w:r>
              <w:t>The project’s indirect beneficiaries under the Core Indicator 2 totaled 173,207 people during this reporting period. The accomplishment represents 57.74 % of the EOP Target . These people have indirectly benefited from the project interventions across the four key landscapes and seascapes. This figure covers 87, 885  men and 85, 322 women: from Aurora Province – 27,939; CGI – 65,636; Catubig Watershed – 62,901; and Siargao Island Protected Landscape and Seascape – 16,731. The cumulative indirect beneficiari</w:t>
            </w:r>
            <w:r>
              <w:t>es for this reporting period  totals 173,560 people (88,029 men and 85,531 women). These people were able to benefit or experience the positive spillover effects of interventions implemented by the project within their communities and surrounding ecosystems. The improved management of natural resources, and local governance structures introduced by the grantees contributed to broader environmental, institutional, and socio-economic benefits that extended beyond the immediate project participants. These indi</w:t>
            </w:r>
            <w:r>
              <w:t>rect impacts included enhanced ecosystem services, increased conservation awareness through visible community activities, improved resource accessibility, and strengthened environmental governance at the local level.</w:t>
            </w:r>
          </w:p>
          <w:p w:rsidR="00D802A4" w:rsidRDefault="00D802A4" w14:paraId="771A568C" w14:textId="77777777"/>
          <w:p w:rsidR="00D802A4" w:rsidRDefault="005650D6" w14:paraId="487739D0" w14:textId="77777777">
            <w:r>
              <w:t>During this reporting period, a total of 2,014.92 hectares (40.30% of the EOP Target) of land were restored across three key landscapes: Aurora Province – 2,000 hectares; Calamian Group of Islands – 13.92 hectares; Catubig Watershed – 1.00 hectare. This accomplishment is under Core Indicator 3. These restorations were carried out through watershed protection, and habitat enhancement, which focused on enabling natural regeneration and strengthening ecosystem resilience.</w:t>
            </w:r>
          </w:p>
          <w:p w:rsidR="00D802A4" w:rsidRDefault="005650D6" w14:paraId="20F1AB45" w14:textId="77777777">
            <w:r>
              <w:t>The Core Indicator 5, which is about the area of marine habitat under improved practices to benefit biodiversity, has achieved 48.98 % of its EOP Target. The progress for this period covered 14,693.99 hectares of marine habitat. CFI contributed in improving      marine habitat under improved practices covering 13,016.18 hectares consisting of coral reefs (9,174.54 hectares), seagrass and seaweed beds (51.05 hectares), and mangrove forests (3,790.59 hectares), while The Samdhana Institute contributed a total</w:t>
            </w:r>
            <w:r>
              <w:t xml:space="preserve"> of 1,677.81 hectares which is comprised of coral reefs (675.81 hectares), seagrass and seaweed beds (15.24 hectares), and mangrove forests (986.76 hectares),</w:t>
            </w:r>
          </w:p>
          <w:p w:rsidR="00D802A4" w:rsidRDefault="00D802A4" w14:paraId="72442D36" w14:textId="77777777"/>
          <w:p w:rsidR="00D802A4" w:rsidRDefault="005650D6" w14:paraId="3C8764D5" w14:textId="77777777">
            <w:r>
              <w:t xml:space="preserve">The cumulative progress as of June 30, 2025 for Core Indicator 6, which is the number of people (disaggregated by gender) within the landscape communities adopting biodiversity conservation, marine protection and sustainable development methods/techniques, has achieved 7,470 people—3,652 men and 3,814  women. The project, through the different grantees, provided interventions for these people to adopt conservation and sustainable development techniques across four major landscapes and seascapes. The figure </w:t>
            </w:r>
            <w:r>
              <w:t>represents 62.25% of the EOP Target of 12,000 people.</w:t>
            </w:r>
          </w:p>
          <w:p w:rsidR="00D802A4" w:rsidRDefault="00D802A4" w14:paraId="31340EBB" w14:textId="77777777"/>
          <w:p w:rsidR="00D802A4" w:rsidRDefault="005650D6" w14:paraId="3525DD1F" w14:textId="77777777">
            <w:r>
              <w:t>The Core Indicator 8 (Percentage of projects that improve the participation of women in natural resource governance) had a cumulative progress, as of 30 June 2025, of 10 SGP-07 grants that improved the participation of women in natural resource governance (58.82% of the EOP target). These grants span across Catubig Watershed (5), CGI (1), SIPLAS (2), and Aurora Province (2), with each grantee leading targeted initiatives to strengthen women’s roles in environmental decision-making.</w:t>
            </w:r>
          </w:p>
          <w:p w:rsidR="00D802A4" w:rsidRDefault="00D802A4" w14:paraId="08A0C927" w14:textId="77777777"/>
          <w:p w:rsidR="00D802A4" w:rsidRDefault="005650D6" w14:paraId="1B519D4F" w14:textId="77777777">
            <w:r>
              <w:t>Seven innovative value-added products have been generated by community projects practicing biodiversity conservation and agro-ecological resource management. This is 23.33% of the EOP target under Core Indicator 10. In Aurora Province, DETFAWAI, led by the Egongot Tribe, successfully developed these value-added products using sustainably harvested “sabutan,” a native plant integral to their cultural and ecological landscape.</w:t>
            </w:r>
          </w:p>
          <w:p w:rsidR="00D802A4" w:rsidRDefault="00D802A4" w14:paraId="250CA5C2" w14:textId="77777777"/>
          <w:p w:rsidR="00D802A4" w:rsidRDefault="005650D6" w14:paraId="713FD6F2" w14:textId="77777777">
            <w:r>
              <w:t>One biodiversity-friendly, climate-resilient community initiative has been upgraded into a grant-supported, profitable enterprise—equivalent to 20% of the EOP Target for Core Indicator 11. DETFAWAI’s sabutan handicraft enterprise exemplifies these principles by transforming understorey palm fiber or sabutan into value-added products, creating a direct economic incentive to preserve native forest stands rather than clear them for agriculture. Harvesting sabutan requires no burning or clear-cutting, thereby m</w:t>
            </w:r>
            <w:r>
              <w:t>aintaining shade-tolerant biodiversity and carbon stocks.</w:t>
            </w:r>
          </w:p>
          <w:p w:rsidR="00D802A4" w:rsidRDefault="00D802A4" w14:paraId="3925E917" w14:textId="77777777"/>
          <w:p w:rsidR="00D802A4" w:rsidRDefault="005650D6" w14:paraId="7E6BF5D6" w14:textId="77777777">
            <w:r>
              <w:t>During this reporting period, a total of 14 grants provided socio-economic benefits and services for women. This is equivalent to 93.33% of the EOP target under Core Indicator 12.      These initiatives span across four landscapes: one in Aurora province, six in CGI, five in the Catubig Watershed, and two in SIPLAS, with focused support on enhancing women’s access to sustainable livelihoods, natural resource governance roles, conservation-linked services, and tenure or resource rights. Specifically, the fol</w:t>
            </w:r>
            <w:r>
              <w:t xml:space="preserve">lowing accomplishments were noted per landscape: In Aurora Province, one project empowered women through sabutan-based livelihoods, enhancing their incomes and roles in conserving forest resources. In CGI, six projects strengthened women’s capacities through initiatives such as formalizing access to fisheries, digital and financial literacy training, agroforestry, water governance participation, and sustainable agriculture, benefiting over 400 women. In the Catubig Watershed, five projects promoted women’s </w:t>
            </w:r>
            <w:r>
              <w:t>leadership in biodiversity conservation, water resource monitoring, agroecological profiling, and forest co-management, engaging hundreds of women across barangays. In SIPLAS, two projects supported women-led organizations in proposal development and environmental governance, while also involving them in ecotourism, coastal reforestation, and livelihood training. Additionally, more than 2,000 women participated in participatory mapping and policy dialogues under LKLLB, strengthening their role in managing f</w:t>
            </w:r>
            <w:r>
              <w:t>orests and coastal ecosystems.</w:t>
            </w:r>
          </w:p>
          <w:p w:rsidR="00D802A4" w:rsidRDefault="00D802A4" w14:paraId="0EC314D2" w14:textId="77777777"/>
          <w:p w:rsidR="00D802A4" w:rsidRDefault="005650D6" w14:paraId="6D027C5A" w14:textId="77777777">
            <w:r>
              <w:t xml:space="preserve">No accomplishments have been reported yet on the landscape-level case studies, which include best practices and lessons learned that can be upscaled at the policy-level (0% of the EOP target under Core Indicator 15). During this reporting period, groundwork was already in motion for case studies for each landscape/seascape. With project implementation actively underway, early results and insights are being documented as they emerge. The PMU, along with the Landscape Level NGO Hubs, are working hand-in-hand </w:t>
            </w:r>
            <w:r>
              <w:t>with the grantees to capture lessons learned, good practices, and innovative approaches from the grants. These will inform and form the case studies that will be produced and inspire replication and scalability. The KMC component has been designed to guide the identification, documentation, and packaging of these studies. Aside from the Landscape Level NGO Hubs, several grants are also set to produce case studies that would cover community-initiated innovations, ecosystem-based practices, and inclusive gove</w:t>
            </w:r>
            <w:r>
              <w:t>rnance strategies.</w:t>
            </w:r>
          </w:p>
          <w:p w:rsidR="00D802A4" w:rsidRDefault="00D802A4" w14:paraId="13696E27" w14:textId="77777777"/>
          <w:p w:rsidR="00D802A4" w:rsidRDefault="005650D6" w14:paraId="4EB37F65" w14:textId="77777777">
            <w:r>
              <w:t>As implementation progressed, Gender Equality and Women's Empowerment became evident in various aspects of the project. Capacity-building initiatives, community planning sessions, conservation activities, and governance structures increasingly saw the active participation of women. In some areas in the implementing grant, women are taking on roles traditionally held by men, such as forest patrolling and natural resource management. In others, they led food forest initiatives, facilitated community dialogues</w:t>
            </w:r>
            <w:r>
              <w:t>, and participated in elections for village-level decision-making bodies.</w:t>
            </w:r>
          </w:p>
          <w:p w:rsidR="00D802A4" w:rsidRDefault="00D802A4" w14:paraId="572B2C7E" w14:textId="77777777"/>
          <w:p w:rsidR="00D802A4" w:rsidRDefault="005650D6" w14:paraId="2E56BFB5" w14:textId="77777777">
            <w:r>
              <w:t>For Knowledge Management, the umbrella Communications Plan and Visibility Protocol were completed, offering guidance on messaging, branding, and ethical documentation across all sites. The umbrella KM Strategy is nearing finalization, outlining a practical framework for knowledge sharing, learning, and adaptive implementation. Several initiatives are also underway- knowledge exchanges, flagship knowledge products are in development, such as a story-based legacy book and themed booklets on women’s leadership</w:t>
            </w:r>
            <w:r>
              <w:t>, biodiversity enterprises, and governance. Communications planning with NGO Hubs has surfaced key training needs—from mobile storytelling to content design—now being integrated into upcoming support. Field-level tools are also in use to capture stories, lessons, and insights from communities. Meanwhile, digital platforms like a project management system and the upcoming SGP-7 website are helping organize and amplify knowledge across the program.</w:t>
            </w:r>
          </w:p>
          <w:p w:rsidR="00D802A4" w:rsidRDefault="00D802A4" w14:paraId="510545BD" w14:textId="77777777"/>
          <w:p w:rsidR="00D802A4" w:rsidRDefault="005650D6" w14:paraId="52514C56" w14:textId="77777777">
            <w:r>
              <w:t>Other notable progress are on the advancement of the NGO Hubs as facilitators and catalysts in capacity building within the project. Support in the strengthening of the LRTCs, helping with multi-stakeholder coordinations, and technical assistance emerged as key roles of the hubs. Their contribution to KMC, stakeholder mapping, gender mainstreaming, and stakeholder engagement in general, enhanced the quality of inclusivity in project implementation.</w:t>
            </w:r>
          </w:p>
          <w:p w:rsidR="00D802A4" w:rsidRDefault="005650D6" w14:paraId="13EA4F91" w14:textId="77777777">
            <w:r>
              <w:t>During this reporting period, the project generated co-financing with a total of    US$3,078,591.91 Out of the total amount, US$1,675,583.72 from the DENR, US$1,336,290.66 from the FPE as implementing partner, US$30,000.00 from UNDP, and US$36,721.53 from the Foundation for a Sustainable Society Inc. (FSSI). The project is still making follow up to other institutions that have committed co-financing for SGP-7.</w:t>
            </w:r>
          </w:p>
          <w:p w:rsidR="00D802A4" w:rsidRDefault="00D802A4" w14:paraId="1EFB3CBA" w14:textId="77777777"/>
          <w:p w:rsidR="00D802A4" w:rsidRDefault="005650D6" w14:paraId="27557740" w14:textId="77777777">
            <w:r>
              <w:t>----</w:t>
            </w:r>
          </w:p>
          <w:p w:rsidR="00D802A4" w:rsidRDefault="00D802A4" w14:paraId="14CC9743" w14:textId="77777777"/>
        </w:tc>
      </w:tr>
      <w:tr w:rsidR="00D802A4" w:rsidTr="33A03C51" w14:paraId="130FBB80" w14:textId="77777777">
        <w:tc>
          <w:tcPr>
            <w:tcW w:w="3615" w:type="dxa"/>
            <w:noWrap/>
            <w:tcMar/>
          </w:tcPr>
          <w:p w:rsidR="00D802A4" w:rsidRDefault="005650D6" w14:paraId="5D46A854" w14:textId="77777777">
            <w:r>
              <w:rPr>
                <w:b/>
                <w:bCs/>
              </w:rPr>
              <w:t>GEF Operational Focal point</w:t>
            </w:r>
          </w:p>
        </w:tc>
        <w:tc>
          <w:tcPr>
            <w:tcW w:w="7258" w:type="dxa"/>
            <w:noWrap/>
            <w:tcMar/>
          </w:tcPr>
          <w:p w:rsidR="00D802A4" w:rsidRDefault="00D802A4" w14:paraId="7AB477AD" w14:textId="77777777"/>
          <w:p w:rsidR="00D802A4" w:rsidRDefault="005650D6" w14:paraId="78602DE4" w14:textId="77777777">
            <w:r>
              <w:t>----</w:t>
            </w:r>
          </w:p>
          <w:p w:rsidR="00D802A4" w:rsidRDefault="00D802A4" w14:paraId="1CCD8262" w14:textId="77777777"/>
        </w:tc>
      </w:tr>
      <w:tr w:rsidR="00D802A4" w:rsidTr="33A03C51" w14:paraId="431FED19" w14:textId="77777777">
        <w:tc>
          <w:tcPr>
            <w:tcW w:w="3615" w:type="dxa"/>
            <w:noWrap/>
            <w:tcMar/>
          </w:tcPr>
          <w:p w:rsidR="00D802A4" w:rsidRDefault="005650D6" w14:paraId="5D98E56E" w14:textId="77777777">
            <w:r>
              <w:rPr>
                <w:b/>
                <w:bCs/>
              </w:rPr>
              <w:t>Project Implementing Partner</w:t>
            </w:r>
          </w:p>
        </w:tc>
        <w:tc>
          <w:tcPr>
            <w:tcW w:w="7258" w:type="dxa"/>
            <w:noWrap/>
            <w:tcMar/>
          </w:tcPr>
          <w:p w:rsidR="00D802A4" w:rsidRDefault="005650D6" w14:paraId="4DA69530" w14:textId="77777777">
            <w:r>
              <w:t>As the National Implementing Partner of the Seventh Operational Phase of the GEF Small Grants Programme (SGP-7) in the Philippines, the Foundation for the Philippine Environment (FPE) has remained a proactive, hands-on partner in ensuring the effectiveness, integrity, and community responsiveness of the project. It ensured the timely delivery of targets leading to achieving seven out of 16 mandatory indicators.</w:t>
            </w:r>
          </w:p>
          <w:p w:rsidR="00D802A4" w:rsidRDefault="005650D6" w14:paraId="0AB61F51" w14:textId="77777777">
            <w:r>
              <w:t>This assessment serves as our reflection on the progress, challenges, and lessons encountered:</w:t>
            </w:r>
          </w:p>
          <w:p w:rsidR="00D802A4" w:rsidRDefault="005650D6" w14:paraId="07DC27D8" w14:textId="77777777">
            <w:r>
              <w:t>The project was launched under exceptional and challenging circumstances, as previously reported. Despite initial constraints and delays, it has laid a good foundation for community-led and inclusive biodiversity conservation. The project has facilitated one national call for proposals this reporting period, focusing on marine, coastal, and freshwater ecosystems in November 2024. Consequently, the project also mobilized several governance platforms, most notably, enabling interactivity between the NSC and P</w:t>
            </w:r>
            <w:r>
              <w:t>TRC through joint sessions, and consequently streamlining review and approval processes of the proposals. These institutional and operational achievements were pivotal in the progress achieved in this reporting period and will further drive gains.</w:t>
            </w:r>
          </w:p>
          <w:p w:rsidR="00D802A4" w:rsidRDefault="005650D6" w14:paraId="23F12C8A" w14:textId="77777777">
            <w:r>
              <w:t>As a grantmaking facility, FPE places emphasis on sustained mentoring, and capacity building. The project was able to roll out effective activities on technical assistance, financial orientation for grantees, and participatory planning. Investing in the capabilities of the hubs, site-level coordination further helped in oversight and implementation, while also enhancing local ownership and management. The consistent effort in strengthening capacities and partnerships are recognized to be one of the key stre</w:t>
            </w:r>
            <w:r>
              <w:t>ngths of the project.</w:t>
            </w:r>
          </w:p>
          <w:p w:rsidR="00D802A4" w:rsidRDefault="005650D6" w14:paraId="76465DE8" w14:textId="77777777">
            <w:r>
              <w:t>Also one the features of the project is integrating KM and gender inclusion into every phase– from planning, proposal writing, up until implementation. The umbrella KMC and site-specific plans guide all in storytelling and evidence-based learning. In collaboration with the hubs and grantees, the project has begun capturing materials for case studies, feature stories, documentation, and knowledge products that will reflect the impact and pathways of change made during the project. These stories include highl</w:t>
            </w:r>
            <w:r>
              <w:t>ighting leadership of women in areas of conservation, the role of gender-inclusive decision making, and initiatives led by women. Local narratives told through local voices and tones are seen as critical tools in amplifying visibility of the work being done on the ground.</w:t>
            </w:r>
          </w:p>
          <w:p w:rsidR="00D802A4" w:rsidRDefault="005650D6" w14:paraId="048D7AD5" w14:textId="77777777">
            <w:r>
              <w:t>The systems adopted by the project are designed to be both practical and responsive. While we are proud of the accomplishments made this period, we acknowledge some challenges still. Administrative challenges remain a hurdle for grantees, particularly in financial liquidation. Through decentralization, we see room for growth in targeted support at site level.</w:t>
            </w:r>
          </w:p>
          <w:p w:rsidR="00D802A4" w:rsidRDefault="005650D6" w14:paraId="42ADDFEC" w14:textId="77777777">
            <w:r>
              <w:t>Our focus now shifts toward continuous and evolving M&amp;E and consolidation of insights and reflection. Together with the PMU, we are preparing for capturing and exchanging best practices to further celebrate the milestones of our stakeholders.</w:t>
            </w:r>
          </w:p>
          <w:p w:rsidR="00D802A4" w:rsidRDefault="00D802A4" w14:paraId="23743076" w14:textId="77777777"/>
          <w:p w:rsidR="00D802A4" w:rsidRDefault="005650D6" w14:paraId="3B73DC89" w14:textId="77777777">
            <w:r>
              <w:t>----</w:t>
            </w:r>
          </w:p>
          <w:p w:rsidR="00D802A4" w:rsidRDefault="00D802A4" w14:paraId="66E03A0D" w14:textId="77777777"/>
        </w:tc>
      </w:tr>
      <w:tr w:rsidR="00D802A4" w:rsidTr="33A03C51" w14:paraId="1CAD742B" w14:textId="77777777">
        <w:tc>
          <w:tcPr>
            <w:tcW w:w="3615" w:type="dxa"/>
            <w:noWrap/>
            <w:tcMar/>
          </w:tcPr>
          <w:p w:rsidR="00D802A4" w:rsidRDefault="005650D6" w14:paraId="3AD7B2E5" w14:textId="77777777">
            <w:r>
              <w:rPr>
                <w:b/>
                <w:bCs/>
              </w:rPr>
              <w:t>Other Partners</w:t>
            </w:r>
          </w:p>
        </w:tc>
        <w:tc>
          <w:tcPr>
            <w:tcW w:w="7258" w:type="dxa"/>
            <w:noWrap/>
            <w:tcMar/>
          </w:tcPr>
          <w:p w:rsidR="00D802A4" w:rsidRDefault="00D802A4" w14:paraId="7FF6DAB9" w14:textId="77777777"/>
          <w:p w:rsidR="00D802A4" w:rsidRDefault="005650D6" w14:paraId="3C31DBC0" w14:textId="77777777">
            <w:r>
              <w:t>----</w:t>
            </w:r>
          </w:p>
          <w:p w:rsidR="00D802A4" w:rsidRDefault="00D802A4" w14:paraId="5FC827D8" w14:textId="77777777"/>
        </w:tc>
      </w:tr>
    </w:tbl>
    <w:p w:rsidR="00D802A4" w:rsidRDefault="00D802A4" w14:paraId="454E6246" w14:textId="77777777">
      <w:pPr>
        <w:sectPr w:rsidR="00D802A4">
          <w:pgSz w:w="11905" w:h="16837" w:orient="portrait"/>
          <w:pgMar w:top="500" w:right="500" w:bottom="500" w:left="500" w:header="720" w:footer="720" w:gutter="0"/>
          <w:cols w:space="720"/>
        </w:sectPr>
      </w:pPr>
    </w:p>
    <w:p w:rsidR="00D802A4" w:rsidRDefault="005650D6" w14:paraId="6B1CEA4C" w14:textId="77777777">
      <w:pPr>
        <w:pStyle w:val="Heading1"/>
      </w:pPr>
      <w:bookmarkStart w:name="_Toc9" w:id="9"/>
      <w:r>
        <w:t>Minor Amendments</w:t>
      </w:r>
      <w:bookmarkEnd w:id="9"/>
    </w:p>
    <w:p w:rsidR="00D802A4" w:rsidRDefault="00D802A4" w14:paraId="4F5561C4" w14:textId="77777777">
      <w:pPr>
        <w:spacing w:after="0"/>
      </w:pPr>
    </w:p>
    <w:p w:rsidR="00D802A4" w:rsidRDefault="005650D6" w14:paraId="1994754C" w14:textId="77777777">
      <w:r>
        <w:t>Minor amendments are changes to the project design or implementation that do not have significant impact on the project objectives or scope, or an increase of the GEF project financing up to 5% as described in Annex 9 of the </w:t>
      </w:r>
      <w:hyperlink w:history="1" r:id="rId14">
        <w:r w:rsidR="00D802A4">
          <w:t>GEF Project and Program Cycle Policy Guidelines</w:t>
        </w:r>
      </w:hyperlink>
      <w:r>
        <w:t>.</w:t>
      </w:r>
    </w:p>
    <w:p w:rsidR="00D802A4" w:rsidRDefault="005650D6" w14:paraId="6F6496F5" w14:textId="77777777">
      <w:r>
        <w:rPr>
          <w:b/>
          <w:bCs/>
        </w:rPr>
        <w:t>CO Programme Officer:</w:t>
      </w:r>
      <w:r>
        <w:t xml:space="preserve"> Please mark each category for which a minor amendment occurred during this reporting period (1 July 2024- 30 June 2025). </w:t>
      </w:r>
    </w:p>
    <w:p w:rsidR="00D802A4" w:rsidRDefault="005650D6" w14:paraId="0100379C" w14:textId="77777777">
      <w:r>
        <w:t>For each category that is marked, please provide a brief description of the change that occurred in the associated text box. You may attach supporting documentation, as appropriate.</w:t>
      </w:r>
    </w:p>
    <w:p w:rsidR="00D802A4" w:rsidRDefault="005650D6" w14:paraId="0061FFDE" w14:textId="77777777">
      <w:r>
        <w:t>The purpose of this section is to capture adaptive management and measure project proactiveness, an indicator outlined in paragraph 70 of the GEF-8 Policy Directions available </w:t>
      </w:r>
      <w:hyperlink w:history="1" r:id="rId15">
        <w:r w:rsidR="00D802A4">
          <w:t>here.</w:t>
        </w:r>
      </w:hyperlink>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8993"/>
      </w:tblGrid>
      <w:tr w:rsidR="00D802A4" w14:paraId="333F2984" w14:textId="77777777">
        <w:tc>
          <w:tcPr>
            <w:tcW w:w="10000" w:type="dxa"/>
            <w:shd w:val="clear" w:color="auto" w:fill="D9D9D9"/>
            <w:noWrap/>
          </w:tcPr>
          <w:p w:rsidR="00D802A4" w:rsidRDefault="005650D6" w14:paraId="4AA190DC" w14:textId="77777777">
            <w:r>
              <w:rPr>
                <w:b/>
                <w:bCs/>
              </w:rPr>
              <w:t>A) Results Framework</w:t>
            </w:r>
          </w:p>
        </w:tc>
      </w:tr>
      <w:tr w:rsidR="00D802A4" w14:paraId="40440863" w14:textId="77777777">
        <w:tc>
          <w:tcPr>
            <w:tcW w:w="10000" w:type="dxa"/>
            <w:noWrap/>
          </w:tcPr>
          <w:p w:rsidR="00D802A4" w:rsidRDefault="005650D6" w14:paraId="19287603" w14:textId="77777777">
            <w:r>
              <w:t>No</w:t>
            </w:r>
          </w:p>
        </w:tc>
      </w:tr>
      <w:tr w:rsidR="00D802A4" w14:paraId="37D14825" w14:textId="77777777">
        <w:tc>
          <w:tcPr>
            <w:tcW w:w="10000" w:type="dxa"/>
            <w:shd w:val="clear" w:color="auto" w:fill="D9D9D9"/>
            <w:noWrap/>
          </w:tcPr>
          <w:p w:rsidR="00D802A4" w:rsidRDefault="005650D6" w14:paraId="0D0299C1" w14:textId="77777777">
            <w:r>
              <w:rPr>
                <w:b/>
                <w:bCs/>
              </w:rPr>
              <w:t>Provide a description of the change(s) to the 'Results framework'</w:t>
            </w:r>
          </w:p>
        </w:tc>
      </w:tr>
      <w:tr w:rsidR="00D802A4" w14:paraId="3A5D47E5" w14:textId="77777777">
        <w:tc>
          <w:tcPr>
            <w:tcW w:w="10000" w:type="dxa"/>
            <w:noWrap/>
          </w:tcPr>
          <w:p w:rsidR="00D802A4" w:rsidRDefault="005650D6" w14:paraId="72C994C5" w14:textId="77777777">
            <w:r>
              <w:rPr>
                <w:i/>
                <w:iCs/>
              </w:rPr>
              <w:t>(not set or not applicable)</w:t>
            </w:r>
          </w:p>
        </w:tc>
      </w:tr>
      <w:tr w:rsidR="00D802A4" w14:paraId="26A49249" w14:textId="77777777">
        <w:tc>
          <w:tcPr>
            <w:tcW w:w="10000" w:type="dxa"/>
            <w:shd w:val="clear" w:color="auto" w:fill="D9D9D9"/>
            <w:noWrap/>
          </w:tcPr>
          <w:p w:rsidR="00D802A4" w:rsidRDefault="005650D6" w14:paraId="279BFF79" w14:textId="77777777">
            <w:r>
              <w:rPr>
                <w:b/>
                <w:bCs/>
              </w:rPr>
              <w:t>B) Components and cost</w:t>
            </w:r>
          </w:p>
        </w:tc>
      </w:tr>
      <w:tr w:rsidR="00D802A4" w14:paraId="3C96C34E" w14:textId="77777777">
        <w:tc>
          <w:tcPr>
            <w:tcW w:w="10000" w:type="dxa"/>
            <w:noWrap/>
          </w:tcPr>
          <w:p w:rsidR="00D802A4" w:rsidRDefault="005650D6" w14:paraId="128CBF62" w14:textId="77777777">
            <w:r>
              <w:t>No</w:t>
            </w:r>
          </w:p>
        </w:tc>
      </w:tr>
      <w:tr w:rsidR="00D802A4" w14:paraId="7531889F" w14:textId="77777777">
        <w:tc>
          <w:tcPr>
            <w:tcW w:w="10000" w:type="dxa"/>
            <w:shd w:val="clear" w:color="auto" w:fill="D9D9D9"/>
            <w:noWrap/>
          </w:tcPr>
          <w:p w:rsidR="00D802A4" w:rsidRDefault="005650D6" w14:paraId="7ECF63B8" w14:textId="77777777">
            <w:r>
              <w:rPr>
                <w:b/>
                <w:bCs/>
              </w:rPr>
              <w:t>Provide a description of the change(s) to 'Components and cost'</w:t>
            </w:r>
          </w:p>
        </w:tc>
      </w:tr>
      <w:tr w:rsidR="00D802A4" w14:paraId="785EF072" w14:textId="77777777">
        <w:tc>
          <w:tcPr>
            <w:tcW w:w="10000" w:type="dxa"/>
            <w:noWrap/>
          </w:tcPr>
          <w:p w:rsidR="00D802A4" w:rsidRDefault="005650D6" w14:paraId="0853227E" w14:textId="77777777">
            <w:r>
              <w:rPr>
                <w:i/>
                <w:iCs/>
              </w:rPr>
              <w:t>(not set or not applicable)</w:t>
            </w:r>
          </w:p>
        </w:tc>
      </w:tr>
      <w:tr w:rsidR="00D802A4" w14:paraId="14274461" w14:textId="77777777">
        <w:tc>
          <w:tcPr>
            <w:tcW w:w="10000" w:type="dxa"/>
            <w:shd w:val="clear" w:color="auto" w:fill="D9D9D9"/>
            <w:noWrap/>
          </w:tcPr>
          <w:p w:rsidR="00D802A4" w:rsidRDefault="005650D6" w14:paraId="6D3B39DA" w14:textId="77777777">
            <w:r>
              <w:rPr>
                <w:b/>
                <w:bCs/>
              </w:rPr>
              <w:t>C) Institutional and implementation arrangements</w:t>
            </w:r>
          </w:p>
        </w:tc>
      </w:tr>
      <w:tr w:rsidR="00D802A4" w14:paraId="0A28B7BA" w14:textId="77777777">
        <w:tc>
          <w:tcPr>
            <w:tcW w:w="10000" w:type="dxa"/>
            <w:noWrap/>
          </w:tcPr>
          <w:p w:rsidR="00D802A4" w:rsidRDefault="005650D6" w14:paraId="4176EB2B" w14:textId="77777777">
            <w:r>
              <w:t>No</w:t>
            </w:r>
          </w:p>
        </w:tc>
      </w:tr>
      <w:tr w:rsidR="00D802A4" w14:paraId="1054B82C" w14:textId="77777777">
        <w:tc>
          <w:tcPr>
            <w:tcW w:w="10000" w:type="dxa"/>
            <w:shd w:val="clear" w:color="auto" w:fill="D9D9D9"/>
            <w:noWrap/>
          </w:tcPr>
          <w:p w:rsidR="00D802A4" w:rsidRDefault="005650D6" w14:paraId="571D0BA6" w14:textId="77777777">
            <w:r>
              <w:rPr>
                <w:b/>
                <w:bCs/>
              </w:rPr>
              <w:t>Provide a description of the change(s) to 'Institutional and implementation arrangements'</w:t>
            </w:r>
          </w:p>
        </w:tc>
      </w:tr>
      <w:tr w:rsidR="00D802A4" w14:paraId="7711DB58" w14:textId="77777777">
        <w:tc>
          <w:tcPr>
            <w:tcW w:w="10000" w:type="dxa"/>
            <w:noWrap/>
          </w:tcPr>
          <w:p w:rsidR="00D802A4" w:rsidRDefault="005650D6" w14:paraId="1D2A33CC" w14:textId="77777777">
            <w:r>
              <w:rPr>
                <w:i/>
                <w:iCs/>
              </w:rPr>
              <w:t>(not set or not applicable)</w:t>
            </w:r>
          </w:p>
        </w:tc>
      </w:tr>
      <w:tr w:rsidR="00D802A4" w14:paraId="64F2692E" w14:textId="77777777">
        <w:tc>
          <w:tcPr>
            <w:tcW w:w="10000" w:type="dxa"/>
            <w:shd w:val="clear" w:color="auto" w:fill="D9D9D9"/>
            <w:noWrap/>
          </w:tcPr>
          <w:p w:rsidR="00D802A4" w:rsidRDefault="005650D6" w14:paraId="0318AEB1" w14:textId="77777777">
            <w:r>
              <w:rPr>
                <w:b/>
                <w:bCs/>
              </w:rPr>
              <w:t>D) Financial management</w:t>
            </w:r>
          </w:p>
        </w:tc>
      </w:tr>
      <w:tr w:rsidR="00D802A4" w14:paraId="74F8EBBE" w14:textId="77777777">
        <w:tc>
          <w:tcPr>
            <w:tcW w:w="10000" w:type="dxa"/>
            <w:noWrap/>
          </w:tcPr>
          <w:p w:rsidR="00D802A4" w:rsidRDefault="005650D6" w14:paraId="42BA0259" w14:textId="77777777">
            <w:r>
              <w:t>No</w:t>
            </w:r>
          </w:p>
        </w:tc>
      </w:tr>
      <w:tr w:rsidR="00D802A4" w14:paraId="10C19534" w14:textId="77777777">
        <w:tc>
          <w:tcPr>
            <w:tcW w:w="10000" w:type="dxa"/>
            <w:shd w:val="clear" w:color="auto" w:fill="D9D9D9"/>
            <w:noWrap/>
          </w:tcPr>
          <w:p w:rsidR="00D802A4" w:rsidRDefault="005650D6" w14:paraId="0C78C8F2" w14:textId="77777777">
            <w:r>
              <w:rPr>
                <w:b/>
                <w:bCs/>
              </w:rPr>
              <w:t>Provide a description of the change(s) to 'Financial Management'</w:t>
            </w:r>
          </w:p>
        </w:tc>
      </w:tr>
      <w:tr w:rsidR="00D802A4" w14:paraId="3ABB4543" w14:textId="77777777">
        <w:tc>
          <w:tcPr>
            <w:tcW w:w="10000" w:type="dxa"/>
            <w:noWrap/>
          </w:tcPr>
          <w:p w:rsidR="00D802A4" w:rsidRDefault="005650D6" w14:paraId="6D85A296" w14:textId="77777777">
            <w:r>
              <w:rPr>
                <w:i/>
                <w:iCs/>
              </w:rPr>
              <w:t>(not set or not applicable)</w:t>
            </w:r>
          </w:p>
        </w:tc>
      </w:tr>
      <w:tr w:rsidR="00D802A4" w14:paraId="2E992107" w14:textId="77777777">
        <w:tc>
          <w:tcPr>
            <w:tcW w:w="10000" w:type="dxa"/>
            <w:shd w:val="clear" w:color="auto" w:fill="D9D9D9"/>
            <w:noWrap/>
          </w:tcPr>
          <w:p w:rsidR="00D802A4" w:rsidRDefault="005650D6" w14:paraId="3D5CDD0D" w14:textId="77777777">
            <w:r>
              <w:rPr>
                <w:b/>
                <w:bCs/>
              </w:rPr>
              <w:t>E) Implementation schedule</w:t>
            </w:r>
          </w:p>
        </w:tc>
      </w:tr>
      <w:tr w:rsidR="00D802A4" w14:paraId="3F771435" w14:textId="77777777">
        <w:tc>
          <w:tcPr>
            <w:tcW w:w="10000" w:type="dxa"/>
            <w:noWrap/>
          </w:tcPr>
          <w:p w:rsidR="00D802A4" w:rsidRDefault="005650D6" w14:paraId="4394D333" w14:textId="77777777">
            <w:r>
              <w:t>Yes</w:t>
            </w:r>
          </w:p>
        </w:tc>
      </w:tr>
      <w:tr w:rsidR="00D802A4" w14:paraId="331C90B8" w14:textId="77777777">
        <w:tc>
          <w:tcPr>
            <w:tcW w:w="10000" w:type="dxa"/>
            <w:shd w:val="clear" w:color="auto" w:fill="D9D9D9"/>
            <w:noWrap/>
          </w:tcPr>
          <w:p w:rsidR="00D802A4" w:rsidRDefault="005650D6" w14:paraId="564F166F" w14:textId="77777777">
            <w:r>
              <w:rPr>
                <w:b/>
                <w:bCs/>
              </w:rPr>
              <w:t>Provide a description of the change(s) to 'Implementation schedule'</w:t>
            </w:r>
          </w:p>
        </w:tc>
      </w:tr>
      <w:tr w:rsidR="00D802A4" w14:paraId="1D81FAF1" w14:textId="77777777">
        <w:tc>
          <w:tcPr>
            <w:tcW w:w="10000" w:type="dxa"/>
            <w:noWrap/>
          </w:tcPr>
          <w:p w:rsidR="00D802A4" w:rsidRDefault="005650D6" w14:paraId="69E8A800" w14:textId="77777777">
            <w:r>
              <w:t>The project is still on schedule, although adjustments on the implementation time frame on some grants were made due to the tedious multilevel review, evaluation, and approval processes of the received proposals. Some of the  approved grants, and a few of those whose approval is still pending, have been modified in light of the remaining Project implementation period.</w:t>
            </w:r>
          </w:p>
        </w:tc>
      </w:tr>
      <w:tr w:rsidR="00D802A4" w14:paraId="65182B0D" w14:textId="77777777">
        <w:tc>
          <w:tcPr>
            <w:tcW w:w="10000" w:type="dxa"/>
            <w:shd w:val="clear" w:color="auto" w:fill="D9D9D9"/>
            <w:noWrap/>
          </w:tcPr>
          <w:p w:rsidR="00D802A4" w:rsidRDefault="005650D6" w14:paraId="1E84BB75" w14:textId="77777777">
            <w:r>
              <w:rPr>
                <w:b/>
                <w:bCs/>
              </w:rPr>
              <w:t>F) Executing Entity</w:t>
            </w:r>
          </w:p>
        </w:tc>
      </w:tr>
      <w:tr w:rsidR="00D802A4" w14:paraId="741504D6" w14:textId="77777777">
        <w:tc>
          <w:tcPr>
            <w:tcW w:w="10000" w:type="dxa"/>
            <w:noWrap/>
          </w:tcPr>
          <w:p w:rsidR="00D802A4" w:rsidRDefault="005650D6" w14:paraId="6B3890B9" w14:textId="77777777">
            <w:r>
              <w:t>No</w:t>
            </w:r>
          </w:p>
        </w:tc>
      </w:tr>
      <w:tr w:rsidR="00D802A4" w14:paraId="4DDB3A0F" w14:textId="77777777">
        <w:tc>
          <w:tcPr>
            <w:tcW w:w="10000" w:type="dxa"/>
            <w:shd w:val="clear" w:color="auto" w:fill="D9D9D9"/>
            <w:noWrap/>
          </w:tcPr>
          <w:p w:rsidR="00D802A4" w:rsidRDefault="005650D6" w14:paraId="65677AB4" w14:textId="77777777">
            <w:r>
              <w:rPr>
                <w:b/>
                <w:bCs/>
              </w:rPr>
              <w:t>Provide a description of the change(s) to 'Executing Entity'</w:t>
            </w:r>
          </w:p>
        </w:tc>
      </w:tr>
      <w:tr w:rsidR="00D802A4" w14:paraId="6FDD54CD" w14:textId="77777777">
        <w:tc>
          <w:tcPr>
            <w:tcW w:w="10000" w:type="dxa"/>
            <w:noWrap/>
          </w:tcPr>
          <w:p w:rsidR="00D802A4" w:rsidRDefault="005650D6" w14:paraId="6E4F3626" w14:textId="77777777">
            <w:r>
              <w:rPr>
                <w:i/>
                <w:iCs/>
              </w:rPr>
              <w:t>(not set or not applicable)</w:t>
            </w:r>
          </w:p>
        </w:tc>
      </w:tr>
      <w:tr w:rsidR="00D802A4" w14:paraId="5BC53164" w14:textId="77777777">
        <w:tc>
          <w:tcPr>
            <w:tcW w:w="10000" w:type="dxa"/>
            <w:shd w:val="clear" w:color="auto" w:fill="D9D9D9"/>
            <w:noWrap/>
          </w:tcPr>
          <w:p w:rsidR="00D802A4" w:rsidRDefault="005650D6" w14:paraId="190B2633" w14:textId="77777777">
            <w:r>
              <w:rPr>
                <w:b/>
                <w:bCs/>
              </w:rPr>
              <w:t>G) Executing Entity Category</w:t>
            </w:r>
          </w:p>
        </w:tc>
      </w:tr>
      <w:tr w:rsidR="00D802A4" w14:paraId="4A3C000A" w14:textId="77777777">
        <w:tc>
          <w:tcPr>
            <w:tcW w:w="10000" w:type="dxa"/>
            <w:noWrap/>
          </w:tcPr>
          <w:p w:rsidR="00D802A4" w:rsidRDefault="005650D6" w14:paraId="3704B261" w14:textId="77777777">
            <w:r>
              <w:t>No</w:t>
            </w:r>
          </w:p>
        </w:tc>
      </w:tr>
      <w:tr w:rsidR="00D802A4" w14:paraId="26B29C9A" w14:textId="77777777">
        <w:tc>
          <w:tcPr>
            <w:tcW w:w="10000" w:type="dxa"/>
            <w:shd w:val="clear" w:color="auto" w:fill="D9D9D9"/>
            <w:noWrap/>
          </w:tcPr>
          <w:p w:rsidR="00D802A4" w:rsidRDefault="005650D6" w14:paraId="7ADA6070" w14:textId="77777777">
            <w:r>
              <w:rPr>
                <w:b/>
                <w:bCs/>
              </w:rPr>
              <w:t>Provide a description of the change(s) to 'Executing Entity Category'</w:t>
            </w:r>
          </w:p>
        </w:tc>
      </w:tr>
      <w:tr w:rsidR="00D802A4" w14:paraId="6FCE85B0" w14:textId="77777777">
        <w:tc>
          <w:tcPr>
            <w:tcW w:w="10000" w:type="dxa"/>
            <w:noWrap/>
          </w:tcPr>
          <w:p w:rsidR="00D802A4" w:rsidRDefault="005650D6" w14:paraId="2D2E99C9" w14:textId="77777777">
            <w:r>
              <w:rPr>
                <w:i/>
                <w:iCs/>
              </w:rPr>
              <w:t>(not set or not applicable)</w:t>
            </w:r>
          </w:p>
        </w:tc>
      </w:tr>
      <w:tr w:rsidR="00D802A4" w14:paraId="4CE6449A" w14:textId="77777777">
        <w:tc>
          <w:tcPr>
            <w:tcW w:w="10000" w:type="dxa"/>
            <w:shd w:val="clear" w:color="auto" w:fill="D9D9D9"/>
            <w:noWrap/>
          </w:tcPr>
          <w:p w:rsidR="00D802A4" w:rsidRDefault="005650D6" w14:paraId="60EBB0B0" w14:textId="77777777">
            <w:r>
              <w:rPr>
                <w:b/>
                <w:bCs/>
              </w:rPr>
              <w:t>H) Minor project objective change</w:t>
            </w:r>
          </w:p>
        </w:tc>
      </w:tr>
      <w:tr w:rsidR="00D802A4" w14:paraId="685459FA" w14:textId="77777777">
        <w:tc>
          <w:tcPr>
            <w:tcW w:w="10000" w:type="dxa"/>
            <w:noWrap/>
          </w:tcPr>
          <w:p w:rsidR="00D802A4" w:rsidRDefault="005650D6" w14:paraId="38E29AAB" w14:textId="77777777">
            <w:r>
              <w:t>No</w:t>
            </w:r>
          </w:p>
        </w:tc>
      </w:tr>
      <w:tr w:rsidR="00D802A4" w14:paraId="0C58A944" w14:textId="77777777">
        <w:tc>
          <w:tcPr>
            <w:tcW w:w="10000" w:type="dxa"/>
            <w:shd w:val="clear" w:color="auto" w:fill="D9D9D9"/>
            <w:noWrap/>
          </w:tcPr>
          <w:p w:rsidR="00D802A4" w:rsidRDefault="005650D6" w14:paraId="070CAD15" w14:textId="77777777">
            <w:r>
              <w:rPr>
                <w:b/>
                <w:bCs/>
              </w:rPr>
              <w:t>Provide a description of the change(s) to 'minor project objective change'</w:t>
            </w:r>
          </w:p>
        </w:tc>
      </w:tr>
      <w:tr w:rsidR="00D802A4" w14:paraId="17A683FA" w14:textId="77777777">
        <w:tc>
          <w:tcPr>
            <w:tcW w:w="10000" w:type="dxa"/>
            <w:noWrap/>
          </w:tcPr>
          <w:p w:rsidR="00D802A4" w:rsidRDefault="005650D6" w14:paraId="406256BE" w14:textId="77777777">
            <w:r>
              <w:rPr>
                <w:i/>
                <w:iCs/>
              </w:rPr>
              <w:t>(not set or not applicable)</w:t>
            </w:r>
          </w:p>
        </w:tc>
      </w:tr>
      <w:tr w:rsidR="00D802A4" w14:paraId="2F234E33" w14:textId="77777777">
        <w:tc>
          <w:tcPr>
            <w:tcW w:w="10000" w:type="dxa"/>
            <w:shd w:val="clear" w:color="auto" w:fill="D9D9D9"/>
            <w:noWrap/>
          </w:tcPr>
          <w:p w:rsidR="00D802A4" w:rsidRDefault="005650D6" w14:paraId="6A21D633" w14:textId="77777777">
            <w:r>
              <w:rPr>
                <w:b/>
                <w:bCs/>
              </w:rPr>
              <w:t>I) Safeguards</w:t>
            </w:r>
          </w:p>
        </w:tc>
      </w:tr>
      <w:tr w:rsidR="00D802A4" w14:paraId="41A8CAA8" w14:textId="77777777">
        <w:tc>
          <w:tcPr>
            <w:tcW w:w="10000" w:type="dxa"/>
            <w:noWrap/>
          </w:tcPr>
          <w:p w:rsidR="00D802A4" w:rsidRDefault="005650D6" w14:paraId="787BD50A" w14:textId="77777777">
            <w:r>
              <w:t>No</w:t>
            </w:r>
          </w:p>
        </w:tc>
      </w:tr>
      <w:tr w:rsidR="00D802A4" w14:paraId="7DAD8321" w14:textId="77777777">
        <w:tc>
          <w:tcPr>
            <w:tcW w:w="10000" w:type="dxa"/>
            <w:shd w:val="clear" w:color="auto" w:fill="D9D9D9"/>
            <w:noWrap/>
          </w:tcPr>
          <w:p w:rsidR="00D802A4" w:rsidRDefault="005650D6" w14:paraId="037369C6" w14:textId="77777777">
            <w:r>
              <w:rPr>
                <w:b/>
                <w:bCs/>
              </w:rPr>
              <w:t>Provide a description of the change(s) to 'Safeguards'</w:t>
            </w:r>
          </w:p>
        </w:tc>
      </w:tr>
      <w:tr w:rsidR="00D802A4" w14:paraId="1CBD4277" w14:textId="77777777">
        <w:tc>
          <w:tcPr>
            <w:tcW w:w="10000" w:type="dxa"/>
            <w:noWrap/>
          </w:tcPr>
          <w:p w:rsidR="00D802A4" w:rsidRDefault="005650D6" w14:paraId="048C7DA8" w14:textId="77777777">
            <w:r>
              <w:rPr>
                <w:i/>
                <w:iCs/>
              </w:rPr>
              <w:t>(not set or not applicable)</w:t>
            </w:r>
          </w:p>
        </w:tc>
      </w:tr>
      <w:tr w:rsidR="00D802A4" w14:paraId="09DB5C3A" w14:textId="77777777">
        <w:tc>
          <w:tcPr>
            <w:tcW w:w="10000" w:type="dxa"/>
            <w:shd w:val="clear" w:color="auto" w:fill="D9D9D9"/>
            <w:noWrap/>
          </w:tcPr>
          <w:p w:rsidR="00D802A4" w:rsidRDefault="005650D6" w14:paraId="23AB9E0F" w14:textId="77777777">
            <w:r>
              <w:rPr>
                <w:b/>
                <w:bCs/>
              </w:rPr>
              <w:t>J) Risk Analysis</w:t>
            </w:r>
          </w:p>
        </w:tc>
      </w:tr>
      <w:tr w:rsidR="00D802A4" w14:paraId="71A18B24" w14:textId="77777777">
        <w:tc>
          <w:tcPr>
            <w:tcW w:w="10000" w:type="dxa"/>
            <w:noWrap/>
          </w:tcPr>
          <w:p w:rsidR="00D802A4" w:rsidRDefault="005650D6" w14:paraId="3F6DC814" w14:textId="77777777">
            <w:r>
              <w:t>No</w:t>
            </w:r>
          </w:p>
        </w:tc>
      </w:tr>
      <w:tr w:rsidR="00D802A4" w14:paraId="5CF4476C" w14:textId="77777777">
        <w:tc>
          <w:tcPr>
            <w:tcW w:w="10000" w:type="dxa"/>
            <w:shd w:val="clear" w:color="auto" w:fill="D9D9D9"/>
            <w:noWrap/>
          </w:tcPr>
          <w:p w:rsidR="00D802A4" w:rsidRDefault="005650D6" w14:paraId="5D63E926" w14:textId="77777777">
            <w:r>
              <w:rPr>
                <w:b/>
                <w:bCs/>
              </w:rPr>
              <w:t>Provide a description of the change(s) to 'Risk Analysis'</w:t>
            </w:r>
          </w:p>
        </w:tc>
      </w:tr>
      <w:tr w:rsidR="00D802A4" w14:paraId="11314E30" w14:textId="77777777">
        <w:tc>
          <w:tcPr>
            <w:tcW w:w="10000" w:type="dxa"/>
            <w:noWrap/>
          </w:tcPr>
          <w:p w:rsidR="00D802A4" w:rsidRDefault="005650D6" w14:paraId="2264D44D" w14:textId="77777777">
            <w:r>
              <w:rPr>
                <w:i/>
                <w:iCs/>
              </w:rPr>
              <w:t>(not set or not applicable)</w:t>
            </w:r>
          </w:p>
        </w:tc>
      </w:tr>
      <w:tr w:rsidR="00D802A4" w14:paraId="01622895" w14:textId="77777777">
        <w:tc>
          <w:tcPr>
            <w:tcW w:w="10000" w:type="dxa"/>
            <w:shd w:val="clear" w:color="auto" w:fill="D9D9D9"/>
            <w:noWrap/>
          </w:tcPr>
          <w:p w:rsidR="00D802A4" w:rsidRDefault="005650D6" w14:paraId="2B915477" w14:textId="77777777">
            <w:r>
              <w:rPr>
                <w:b/>
                <w:bCs/>
              </w:rPr>
              <w:t>K) Increase of GEF project financing up to 5%</w:t>
            </w:r>
          </w:p>
        </w:tc>
      </w:tr>
      <w:tr w:rsidR="00D802A4" w14:paraId="118F0751" w14:textId="77777777">
        <w:tc>
          <w:tcPr>
            <w:tcW w:w="10000" w:type="dxa"/>
            <w:noWrap/>
          </w:tcPr>
          <w:p w:rsidR="00D802A4" w:rsidRDefault="005650D6" w14:paraId="2DBB9D51" w14:textId="77777777">
            <w:r>
              <w:t>No</w:t>
            </w:r>
          </w:p>
        </w:tc>
      </w:tr>
      <w:tr w:rsidR="00D802A4" w14:paraId="410FB2E2" w14:textId="77777777">
        <w:tc>
          <w:tcPr>
            <w:tcW w:w="10000" w:type="dxa"/>
            <w:shd w:val="clear" w:color="auto" w:fill="D9D9D9"/>
            <w:noWrap/>
          </w:tcPr>
          <w:p w:rsidR="00D802A4" w:rsidRDefault="005650D6" w14:paraId="37187A11" w14:textId="77777777">
            <w:r>
              <w:rPr>
                <w:b/>
                <w:bCs/>
              </w:rPr>
              <w:t>Provide a description of the change to GEF project financing up to 5%</w:t>
            </w:r>
          </w:p>
        </w:tc>
      </w:tr>
      <w:tr w:rsidR="00D802A4" w14:paraId="632D1670" w14:textId="77777777">
        <w:tc>
          <w:tcPr>
            <w:tcW w:w="10000" w:type="dxa"/>
            <w:noWrap/>
          </w:tcPr>
          <w:p w:rsidR="00D802A4" w:rsidRDefault="005650D6" w14:paraId="124E5C06" w14:textId="77777777">
            <w:r>
              <w:rPr>
                <w:i/>
                <w:iCs/>
              </w:rPr>
              <w:t>(not set or not applicable)</w:t>
            </w:r>
          </w:p>
        </w:tc>
      </w:tr>
      <w:tr w:rsidR="00D802A4" w14:paraId="6F4FAD49" w14:textId="77777777">
        <w:tc>
          <w:tcPr>
            <w:tcW w:w="10000" w:type="dxa"/>
            <w:shd w:val="clear" w:color="auto" w:fill="D9D9D9"/>
            <w:noWrap/>
          </w:tcPr>
          <w:p w:rsidR="00D802A4" w:rsidRDefault="005650D6" w14:paraId="53C2B2BC" w14:textId="77777777">
            <w:r>
              <w:rPr>
                <w:b/>
                <w:bCs/>
              </w:rPr>
              <w:t>L) Co-financing</w:t>
            </w:r>
          </w:p>
        </w:tc>
      </w:tr>
      <w:tr w:rsidR="00D802A4" w14:paraId="4B18F782" w14:textId="77777777">
        <w:tc>
          <w:tcPr>
            <w:tcW w:w="10000" w:type="dxa"/>
            <w:noWrap/>
          </w:tcPr>
          <w:p w:rsidR="00D802A4" w:rsidRDefault="005650D6" w14:paraId="5EB7C54D" w14:textId="77777777">
            <w:r>
              <w:t>No</w:t>
            </w:r>
          </w:p>
        </w:tc>
      </w:tr>
      <w:tr w:rsidR="00D802A4" w14:paraId="7241383F" w14:textId="77777777">
        <w:tc>
          <w:tcPr>
            <w:tcW w:w="10000" w:type="dxa"/>
            <w:shd w:val="clear" w:color="auto" w:fill="D9D9D9"/>
            <w:noWrap/>
          </w:tcPr>
          <w:p w:rsidR="00D802A4" w:rsidRDefault="005650D6" w14:paraId="17DC1C95" w14:textId="77777777">
            <w:r>
              <w:rPr>
                <w:b/>
                <w:bCs/>
              </w:rPr>
              <w:t>Provide a description of the change(s) to 'Co-financing'</w:t>
            </w:r>
          </w:p>
        </w:tc>
      </w:tr>
      <w:tr w:rsidR="00D802A4" w14:paraId="6AD225CB" w14:textId="77777777">
        <w:tc>
          <w:tcPr>
            <w:tcW w:w="10000" w:type="dxa"/>
            <w:noWrap/>
          </w:tcPr>
          <w:p w:rsidR="00D802A4" w:rsidRDefault="005650D6" w14:paraId="4B17CAF6" w14:textId="77777777">
            <w:r>
              <w:rPr>
                <w:i/>
                <w:iCs/>
              </w:rPr>
              <w:t>(not set or not applicable)</w:t>
            </w:r>
          </w:p>
        </w:tc>
      </w:tr>
      <w:tr w:rsidR="00D802A4" w14:paraId="0726F61F" w14:textId="77777777">
        <w:tc>
          <w:tcPr>
            <w:tcW w:w="10000" w:type="dxa"/>
            <w:shd w:val="clear" w:color="auto" w:fill="D9D9D9"/>
            <w:noWrap/>
          </w:tcPr>
          <w:p w:rsidR="00D802A4" w:rsidRDefault="005650D6" w14:paraId="1B00C234" w14:textId="77777777">
            <w:r>
              <w:rPr>
                <w:b/>
                <w:bCs/>
              </w:rPr>
              <w:t>M) Location of project activity</w:t>
            </w:r>
          </w:p>
        </w:tc>
      </w:tr>
      <w:tr w:rsidR="00D802A4" w14:paraId="70AC8BF5" w14:textId="77777777">
        <w:tc>
          <w:tcPr>
            <w:tcW w:w="10000" w:type="dxa"/>
            <w:noWrap/>
          </w:tcPr>
          <w:p w:rsidR="00D802A4" w:rsidRDefault="005650D6" w14:paraId="7CBCC3B2" w14:textId="77777777">
            <w:r>
              <w:t>No</w:t>
            </w:r>
          </w:p>
        </w:tc>
      </w:tr>
      <w:tr w:rsidR="00D802A4" w14:paraId="68FC8850" w14:textId="77777777">
        <w:tc>
          <w:tcPr>
            <w:tcW w:w="10000" w:type="dxa"/>
            <w:shd w:val="clear" w:color="auto" w:fill="D9D9D9"/>
            <w:noWrap/>
          </w:tcPr>
          <w:p w:rsidR="00D802A4" w:rsidRDefault="005650D6" w14:paraId="26821F6E" w14:textId="77777777">
            <w:r>
              <w:rPr>
                <w:b/>
                <w:bCs/>
              </w:rPr>
              <w:t>Provide a description of the change(s) to project location activity</w:t>
            </w:r>
          </w:p>
        </w:tc>
      </w:tr>
      <w:tr w:rsidR="00D802A4" w14:paraId="7E67DEE2" w14:textId="77777777">
        <w:tc>
          <w:tcPr>
            <w:tcW w:w="10000" w:type="dxa"/>
            <w:noWrap/>
          </w:tcPr>
          <w:p w:rsidR="00D802A4" w:rsidRDefault="005650D6" w14:paraId="3B065E99" w14:textId="77777777">
            <w:r>
              <w:rPr>
                <w:i/>
                <w:iCs/>
              </w:rPr>
              <w:t>(not set or not applicable)</w:t>
            </w:r>
          </w:p>
        </w:tc>
      </w:tr>
      <w:tr w:rsidR="00D802A4" w14:paraId="7DEE73E1" w14:textId="77777777">
        <w:tc>
          <w:tcPr>
            <w:tcW w:w="10000" w:type="dxa"/>
            <w:shd w:val="clear" w:color="auto" w:fill="D9D9D9"/>
            <w:noWrap/>
          </w:tcPr>
          <w:p w:rsidR="00D802A4" w:rsidRDefault="005650D6" w14:paraId="71DE72FE" w14:textId="77777777">
            <w:r>
              <w:rPr>
                <w:b/>
                <w:bCs/>
              </w:rPr>
              <w:t>Please provide a description of other types of minor amendments that do not fall under any of the above categories. For example, minor changes to the project's Gender Action Plan and/or gender activities can be captured here.</w:t>
            </w:r>
          </w:p>
        </w:tc>
      </w:tr>
      <w:tr w:rsidR="00D802A4" w14:paraId="2153423B" w14:textId="77777777">
        <w:tc>
          <w:tcPr>
            <w:tcW w:w="10000" w:type="dxa"/>
            <w:noWrap/>
          </w:tcPr>
          <w:p w:rsidR="00D802A4" w:rsidRDefault="005650D6" w14:paraId="3FE07773" w14:textId="77777777">
            <w:r>
              <w:rPr>
                <w:i/>
                <w:iCs/>
              </w:rPr>
              <w:t>(not set or not applicable)</w:t>
            </w:r>
          </w:p>
        </w:tc>
      </w:tr>
    </w:tbl>
    <w:p w:rsidR="00D802A4" w:rsidRDefault="00D802A4" w14:paraId="1220A7E7" w14:textId="77777777">
      <w:pPr>
        <w:sectPr w:rsidR="00D802A4">
          <w:pgSz w:w="11905" w:h="16837" w:orient="portrait"/>
          <w:pgMar w:top="1440" w:right="1440" w:bottom="1440" w:left="1440" w:header="720" w:footer="720" w:gutter="0"/>
          <w:cols w:space="720"/>
        </w:sectPr>
      </w:pPr>
    </w:p>
    <w:p w:rsidR="00D802A4" w:rsidRDefault="005650D6" w14:paraId="09D613ED" w14:textId="77777777">
      <w:pPr>
        <w:pStyle w:val="Heading1"/>
      </w:pPr>
      <w:bookmarkStart w:name="_Toc10" w:id="10"/>
      <w:r>
        <w:t>Gender</w:t>
      </w:r>
      <w:bookmarkEnd w:id="10"/>
    </w:p>
    <w:p w:rsidR="00D802A4" w:rsidRDefault="005650D6" w14:paraId="74C717C1" w14:textId="77777777">
      <w:pPr>
        <w:pStyle w:val="Heading2"/>
      </w:pPr>
      <w:bookmarkStart w:name="_Toc11" w:id="11"/>
      <w:r>
        <w:t>Progress in Advancing Gender Equality and Women's Empowerment</w:t>
      </w:r>
      <w:bookmarkEnd w:id="11"/>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8993"/>
      </w:tblGrid>
      <w:tr w:rsidR="00D802A4" w14:paraId="03637152" w14:textId="77777777">
        <w:tc>
          <w:tcPr>
            <w:tcW w:w="10000" w:type="dxa"/>
            <w:shd w:val="clear" w:color="auto" w:fill="D9D9D9"/>
            <w:noWrap/>
          </w:tcPr>
          <w:p w:rsidR="00D802A4" w:rsidRDefault="005650D6" w14:paraId="14E72AD9" w14:textId="77777777">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D802A4" w14:paraId="1603BED0" w14:textId="77777777">
        <w:tc>
          <w:tcPr>
            <w:tcW w:w="10000" w:type="dxa"/>
            <w:noWrap/>
          </w:tcPr>
          <w:p w:rsidR="00D802A4" w:rsidRDefault="005650D6" w14:paraId="18FF09E5" w14:textId="77777777">
            <w:pPr>
              <w:spacing w:after="0"/>
            </w:pPr>
            <w:r>
              <w:t>Annex 9 Gender Analysis and Action Plan.pdf</w:t>
            </w:r>
          </w:p>
          <w:p w:rsidR="00D802A4" w:rsidRDefault="00D802A4" w14:paraId="0B2B4506" w14:textId="77777777"/>
        </w:tc>
      </w:tr>
      <w:tr w:rsidR="00D802A4" w14:paraId="4F08D75E" w14:textId="77777777">
        <w:tc>
          <w:tcPr>
            <w:tcW w:w="10000" w:type="dxa"/>
            <w:shd w:val="clear" w:color="auto" w:fill="D9D9D9"/>
            <w:noWrap/>
          </w:tcPr>
          <w:p w:rsidR="00D802A4" w:rsidRDefault="005650D6" w14:paraId="28BBFDEB" w14:textId="77777777">
            <w:r>
              <w:rPr>
                <w:b/>
                <w:bCs/>
              </w:rPr>
              <w:t>Quantum Gender Marker Rating</w:t>
            </w:r>
          </w:p>
        </w:tc>
      </w:tr>
      <w:tr w:rsidR="00D802A4" w14:paraId="72FE881C" w14:textId="77777777">
        <w:tc>
          <w:tcPr>
            <w:tcW w:w="10000" w:type="dxa"/>
            <w:noWrap/>
          </w:tcPr>
          <w:p w:rsidR="00D802A4" w:rsidRDefault="005650D6" w14:paraId="213B176E" w14:textId="77777777">
            <w:r>
              <w:rPr>
                <w:b/>
                <w:bCs/>
              </w:rPr>
              <w:t xml:space="preserve">GEN2: </w:t>
            </w:r>
            <w:r>
              <w:t>gender equality as significant objective</w:t>
            </w:r>
          </w:p>
        </w:tc>
      </w:tr>
      <w:tr w:rsidR="00D802A4" w14:paraId="2AED1C47" w14:textId="77777777">
        <w:tc>
          <w:tcPr>
            <w:tcW w:w="10000" w:type="dxa"/>
            <w:shd w:val="clear" w:color="auto" w:fill="D9D9D9"/>
            <w:noWrap/>
          </w:tcPr>
          <w:p w:rsidR="00D802A4" w:rsidRDefault="005650D6" w14:paraId="29B8A05F" w14:textId="77777777">
            <w:r>
              <w:rPr>
                <w:b/>
                <w:bCs/>
              </w:rPr>
              <w:t>2) Please indicate in which results areas the project is contributing to gender equality (you may select more than one results area, or select not applicable):</w:t>
            </w:r>
          </w:p>
        </w:tc>
      </w:tr>
      <w:tr w:rsidR="00D802A4" w14:paraId="12A2B997" w14:textId="77777777">
        <w:tc>
          <w:tcPr>
            <w:tcW w:w="10000" w:type="dxa"/>
            <w:noWrap/>
          </w:tcPr>
          <w:p w:rsidR="00D802A4" w:rsidRDefault="005650D6" w14:paraId="6562995F" w14:textId="77777777">
            <w:r>
              <w:t>Contributing to closing gender gaps in access to and control over resources: Yes</w:t>
            </w:r>
          </w:p>
        </w:tc>
      </w:tr>
      <w:tr w:rsidR="00D802A4" w14:paraId="02771FC5" w14:textId="77777777">
        <w:tc>
          <w:tcPr>
            <w:tcW w:w="10000" w:type="dxa"/>
            <w:noWrap/>
          </w:tcPr>
          <w:p w:rsidR="00D802A4" w:rsidRDefault="005650D6" w14:paraId="07B694CD" w14:textId="77777777">
            <w:r>
              <w:t>Improving the participation and decision-making of women in natural resource governance: Yes</w:t>
            </w:r>
          </w:p>
        </w:tc>
      </w:tr>
      <w:tr w:rsidR="00D802A4" w14:paraId="3DB34149" w14:textId="77777777">
        <w:tc>
          <w:tcPr>
            <w:tcW w:w="10000" w:type="dxa"/>
            <w:noWrap/>
          </w:tcPr>
          <w:p w:rsidR="00D802A4" w:rsidRDefault="005650D6" w14:paraId="2F0A6AE3" w14:textId="77777777">
            <w:r>
              <w:t>Targeting socio-economic benefits and services for women: Yes</w:t>
            </w:r>
          </w:p>
        </w:tc>
      </w:tr>
      <w:tr w:rsidR="00D802A4" w14:paraId="4389F9AE" w14:textId="77777777">
        <w:tc>
          <w:tcPr>
            <w:tcW w:w="10000" w:type="dxa"/>
            <w:noWrap/>
          </w:tcPr>
          <w:p w:rsidR="00D802A4" w:rsidRDefault="005650D6" w14:paraId="20DC6E8E" w14:textId="77777777">
            <w:r>
              <w:t>Not applicable: No</w:t>
            </w:r>
          </w:p>
        </w:tc>
      </w:tr>
      <w:tr w:rsidR="00D802A4" w14:paraId="68304C31" w14:textId="77777777">
        <w:tc>
          <w:tcPr>
            <w:tcW w:w="10000" w:type="dxa"/>
            <w:shd w:val="clear" w:color="auto" w:fill="D9D9D9"/>
            <w:noWrap/>
          </w:tcPr>
          <w:p w:rsidR="00D802A4" w:rsidRDefault="005650D6" w14:paraId="1F3C559D" w14:textId="77777777">
            <w:r>
              <w:rPr>
                <w:b/>
                <w:bCs/>
              </w:rPr>
              <w:t>3) Please specify results achieved this reporting period that focus on increasing gender equality and the empowerment of women.</w:t>
            </w:r>
          </w:p>
          <w:p w:rsidR="00D802A4" w:rsidRDefault="00D802A4" w14:paraId="68AD33DC" w14:textId="77777777"/>
          <w:p w:rsidR="00D802A4" w:rsidRDefault="005650D6" w14:paraId="57AB783B" w14:textId="77777777">
            <w:r>
              <w:rPr>
                <w:b/>
                <w:bCs/>
              </w:rPr>
              <w:t>Please explain how the results reported addressed the different needs of men or women, changed norms, values, and power structures, and/or contributed to transforming or challenging gender inequalities and discrimination.</w:t>
            </w:r>
          </w:p>
        </w:tc>
      </w:tr>
      <w:tr w:rsidR="00D802A4" w14:paraId="6C8463B5" w14:textId="77777777">
        <w:tc>
          <w:tcPr>
            <w:tcW w:w="10000" w:type="dxa"/>
            <w:noWrap/>
          </w:tcPr>
          <w:p w:rsidR="00D802A4" w:rsidRDefault="005650D6" w14:paraId="1FE7EF0F" w14:textId="77777777">
            <w:r>
              <w:t>Since the inception of SGP-7, gender equality has been upheld as a rudimentary principle in coming up with the strategic direction of grants implementation. From the earliest activities in planning, the perspectives of women have been essential in shaping the landscape strategies of each priority landscape/seascape. This has been set in place as early as the baseline assessment, where women’s contributions especially in resilience indicators and the priorities of the target communities were given emphasis.</w:t>
            </w:r>
          </w:p>
          <w:p w:rsidR="00D802A4" w:rsidRDefault="00D802A4" w14:paraId="1FCAE493" w14:textId="77777777"/>
          <w:p w:rsidR="00D802A4" w:rsidRDefault="005650D6" w14:paraId="45AF91E0" w14:textId="77777777">
            <w:r>
              <w:t>To date, the project sees areas that particularly focus on several elements in implementation on gender: (1) capacity building and skills development, (2) environmental planning and resource management, (3) community engagement and participatory processes, (4) organizational strengthening and governance, (5) communication, education, and public awareness, and (6) conservation and livelihood activities. The project has selected the following examples to highlight results and good practices. Across the priori</w:t>
            </w:r>
            <w:r>
              <w:t>ty landscapes/seascapes of SGP-7, capacity building has been crucial especially in addressing weakened operational capacity following the pandemic, alongside continued organizational development. In Aurora Province, three out of 20 women were trained and deputized as Bantay Gubat by the DENRO through the regular grant implementation of DETFAWAI. Although the number is modest, it still indicates a notable shift as men usually dominate physically demanding responsibilities such as patrolling due to gender nor</w:t>
            </w:r>
            <w:r>
              <w:t>ms and expectations. The figure shows growth in the acceptance of women’s capabilities in conservation work. It can also be noted that the chieftain of DETFAWAI, who is also a woman, is among the three female deputies. Alongside the capacity-building activity, DETFAWAI also provided monitoring equipment such as bolos or local machetes, also indicating improved access to resources and tools. The group also attended paralegal training to deepen their understanding of conservation laws and enforcement protocol</w:t>
            </w:r>
            <w:r>
              <w:t>s.</w:t>
            </w:r>
          </w:p>
          <w:p w:rsidR="00D802A4" w:rsidRDefault="00D802A4" w14:paraId="7B7C1A3C" w14:textId="77777777"/>
          <w:p w:rsidR="00D802A4" w:rsidRDefault="005650D6" w14:paraId="63076429" w14:textId="77777777">
            <w:r>
              <w:t>The project also ensured that women are engaged in technical and participatory processes that guide biodiversity conservation. In CGI, regular grant implementor CFR, actively promotes the enhancement of agriculture and forest lands through food forest systems as a localized approach in climate adaptation and mitigation. The participants, also representing 50 families, were trained on agro-forestry, regenerative agriculture, permaculture and syntropic farming, and out of 50 participants, 31 are females. Of t</w:t>
            </w:r>
            <w:r>
              <w:t>he 53 food forest systems that were identified and validated, 31 are women-led, reflecting clear involvement and leadership in land management which directly contributes to sustainable production, conservation, and restoration. This kind of involvement, associated with managing land has challenged patriarchal norms that before use to limit women’s roles to household support.</w:t>
            </w:r>
          </w:p>
          <w:p w:rsidR="00D802A4" w:rsidRDefault="00D802A4" w14:paraId="2D9A562F" w14:textId="77777777"/>
          <w:p w:rsidR="00D802A4" w:rsidRDefault="005650D6" w14:paraId="14E90206" w14:textId="77777777">
            <w:r>
              <w:t>For community engagement and participatory processes, the Kahiusa Summit—organized by strategic grantee LKLLB in SIPLAS—brought together PACBRMA organizations to discuss key themes such as sustainable resource management, PACBRMA policies, climate-resilient farming, skills development, market linkages, and research in sustainable agriculture. It was reported that female participation was at 58%. This figure shows a positive shift in inclusion of women in community governance as contributors in resource mana</w:t>
            </w:r>
            <w:r>
              <w:t>gement and action.</w:t>
            </w:r>
          </w:p>
          <w:p w:rsidR="00D802A4" w:rsidRDefault="00D802A4" w14:paraId="49FF5574" w14:textId="77777777"/>
          <w:p w:rsidR="00D802A4" w:rsidRDefault="005650D6" w14:paraId="637E2299" w14:textId="77777777">
            <w:r>
              <w:t>In organizational strengthening and governance, model contributions are demonstrated in Catubig Watershed through the implementation of a strategic grant of the SCPI, where women illustrated strong engagement in VCT elections. The attendance records from five (5) barangays of Rizal, Inuboran, Mag-ongon, Simora, and Taylor, reflect an average women’s participation rate of 63%, highlighting women’s active roles in facilitation and decision-making processes. This not only strengthens the impact on addressing n</w:t>
            </w:r>
            <w:r>
              <w:t>eeds, priorities, and the experiences of women but also promotes community-based environmental action and resilience-building that are gender-responsive. More importantly, the financing schemes led by strong women’s participation helps in inclusive, transparent fund allocation and benefit-sharing since the VCTs will also manage them.</w:t>
            </w:r>
          </w:p>
          <w:p w:rsidR="00D802A4" w:rsidRDefault="00D802A4" w14:paraId="79023127" w14:textId="77777777"/>
          <w:p w:rsidR="00D802A4" w:rsidRDefault="005650D6" w14:paraId="6424A2BF" w14:textId="77777777">
            <w:r>
              <w:t>As SGP-7 continues implementation, the project counts on more evolving practices that can further gender equality and women’s empowerment.</w:t>
            </w:r>
          </w:p>
        </w:tc>
      </w:tr>
      <w:tr w:rsidR="00D802A4" w14:paraId="39F4B75C" w14:textId="77777777">
        <w:tc>
          <w:tcPr>
            <w:tcW w:w="10000" w:type="dxa"/>
            <w:shd w:val="clear" w:color="auto" w:fill="D9D9D9"/>
            <w:noWrap/>
          </w:tcPr>
          <w:p w:rsidR="00D802A4" w:rsidRDefault="005650D6" w14:paraId="2DF20D4B" w14:textId="77777777">
            <w:r>
              <w:rPr>
                <w:b/>
                <w:bCs/>
              </w:rPr>
              <w:t>4) Please describe how work to advance gender equality and women's empowerment enhanced the project's environmental and/or resilience outcomes.</w:t>
            </w:r>
          </w:p>
        </w:tc>
      </w:tr>
      <w:tr w:rsidR="00D802A4" w14:paraId="0D8076C2" w14:textId="77777777">
        <w:tc>
          <w:tcPr>
            <w:tcW w:w="10000" w:type="dxa"/>
            <w:noWrap/>
          </w:tcPr>
          <w:p w:rsidR="00D802A4" w:rsidRDefault="005650D6" w14:paraId="7C2B1857" w14:textId="77777777">
            <w:r>
              <w:t>Deliberately incorporating gender equality and women’s empowerment into the SGP-7 landscape strategies and implementation approaches has strengthened environmental outcomes and community resilience. With women’s active participation across technical, governance, and community activities, the project is able to stretch capacity and inclusivity in conservation and sustainable development efforts. The engagement of women has allowed a broader base for grassroots knowledge, and even labor. It also extended role</w:t>
            </w:r>
            <w:r>
              <w:t>s in decision-making, as well as in responsibilities that are usually assumed by mostly men.</w:t>
            </w:r>
          </w:p>
          <w:p w:rsidR="00D802A4" w:rsidRDefault="00D802A4" w14:paraId="1C51AC3B" w14:textId="77777777"/>
          <w:p w:rsidR="00D802A4" w:rsidRDefault="005650D6" w14:paraId="04491932" w14:textId="77777777">
            <w:r>
              <w:t>Women’s involvement in activities such as training programs such as eco-guides, nursery management, agroforestry, watershed characterization, and farm planning equipped them with the skills needed to directly contribute to biodiversity conservation. Their leadership in organizing community restoration, managing nurseries, and participating in forest patrols and ecotourism initiatives strengthened local stewardship of natural resources, supporting Outcome 1.1 and Outcome 1.2 related to enhanced ecosystem ser</w:t>
            </w:r>
            <w:r>
              <w:t>vices and sustainable production systems.</w:t>
            </w:r>
          </w:p>
          <w:p w:rsidR="00D802A4" w:rsidRDefault="00D802A4" w14:paraId="03584AC4" w14:textId="77777777"/>
          <w:p w:rsidR="00D802A4" w:rsidRDefault="005650D6" w14:paraId="6D38EC22" w14:textId="77777777">
            <w:r>
              <w:t>Governance-related activities, such as having a say in the formation of VCTs, participation in policy advocacy training, and engagement in multi-stakeholder platforms like the Kahiusa Summit—bolstered women’s roles in decision-making and resource management. This inclusive governance approach under Outcome 2.1 promoted transparency, accountability, and equitable benefit-sharing, which are key to building socio-ecological resilience.</w:t>
            </w:r>
          </w:p>
          <w:p w:rsidR="00D802A4" w:rsidRDefault="00D802A4" w14:paraId="3BC7D7A0" w14:textId="77777777"/>
          <w:p w:rsidR="00D802A4" w:rsidRDefault="005650D6" w14:paraId="7CA7F7F4" w14:textId="77777777">
            <w:r>
              <w:t>Additionally, capacity-building efforts in financial literacy, proposal writing, and organizational development empowered women to sustain and scale eco-friendly livelihood enterprises (Outcome 1.3), fostering economic resilience within communities. Participatory planning, community assessments, and stakeholder validation processes that prioritized female voices ensured interventions were responsive to diverse needs and grounded in local realities.</w:t>
            </w:r>
          </w:p>
          <w:p w:rsidR="00D802A4" w:rsidRDefault="00D802A4" w14:paraId="52E03BE2" w14:textId="77777777"/>
          <w:p w:rsidR="00D802A4" w:rsidRDefault="005650D6" w14:paraId="7F662AAF" w14:textId="77777777">
            <w:r>
              <w:t>Overall, integrating gender-responsive strategies across these activities created more effective and equitable pathways to environmental conservation and community resilience, demonstrating that women’s empowerment is essential for achieving sustainable landscape and seascape management.</w:t>
            </w:r>
          </w:p>
        </w:tc>
      </w:tr>
    </w:tbl>
    <w:p w:rsidR="00D802A4" w:rsidRDefault="00D802A4" w14:paraId="1458BBA2" w14:textId="77777777">
      <w:pPr>
        <w:sectPr w:rsidR="00D802A4">
          <w:pgSz w:w="11905" w:h="16837" w:orient="portrait"/>
          <w:pgMar w:top="1440" w:right="1440" w:bottom="1440" w:left="1440" w:header="720" w:footer="720" w:gutter="0"/>
          <w:cols w:space="720"/>
        </w:sectPr>
      </w:pPr>
    </w:p>
    <w:p w:rsidR="00D802A4" w:rsidRDefault="005650D6" w14:paraId="2B22F072" w14:textId="77777777">
      <w:pPr>
        <w:pStyle w:val="Heading1"/>
      </w:pPr>
      <w:bookmarkStart w:name="_Toc12" w:id="12"/>
      <w:r>
        <w:t>Risk Management</w:t>
      </w:r>
      <w:bookmarkEnd w:id="12"/>
    </w:p>
    <w:p w:rsidR="00D802A4" w:rsidRDefault="005650D6" w14:paraId="766F20E6" w14:textId="77777777">
      <w:pPr>
        <w:pStyle w:val="Heading2"/>
      </w:pPr>
      <w:bookmarkStart w:name="_Toc13" w:id="13"/>
      <w:r>
        <w:t>A) Overall Risk Management</w:t>
      </w:r>
      <w:bookmarkEnd w:id="13"/>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8993"/>
      </w:tblGrid>
      <w:tr w:rsidR="00D802A4" w14:paraId="0DE58455" w14:textId="77777777">
        <w:tc>
          <w:tcPr>
            <w:tcW w:w="10000" w:type="dxa"/>
            <w:shd w:val="clear" w:color="auto" w:fill="D9D9D9"/>
            <w:noWrap/>
          </w:tcPr>
          <w:p w:rsidR="00D802A4" w:rsidRDefault="005650D6" w14:paraId="204E0F71" w14:textId="77777777">
            <w:r>
              <w:rPr>
                <w:b/>
                <w:bCs/>
              </w:rPr>
              <w:t>BPPS RTA: Please discuss the risks flagged in the Quantum project Risk Register and the VF Risk Dashboard in PIMS+ with the CO and then provide an assessment of project risk management undertaken during the  reporting period. Document actions, agreed with the CO, to address all project risks in the coming year.</w:t>
            </w:r>
          </w:p>
          <w:p w:rsidR="00D802A4" w:rsidRDefault="00D802A4" w14:paraId="6DB32D80" w14:textId="77777777"/>
        </w:tc>
      </w:tr>
      <w:tr w:rsidR="00D802A4" w14:paraId="649910E6" w14:textId="77777777">
        <w:tc>
          <w:tcPr>
            <w:tcW w:w="10000" w:type="dxa"/>
            <w:noWrap/>
          </w:tcPr>
          <w:p w:rsidR="00D802A4" w:rsidRDefault="005650D6" w14:paraId="39127BE2" w14:textId="77777777">
            <w:r>
              <w:t>Management of risks is on track. Only a risk of low delivery is flagged in PIMS+ (low level).</w:t>
            </w:r>
          </w:p>
          <w:p w:rsidR="00D802A4" w:rsidRDefault="00D802A4" w14:paraId="15276020" w14:textId="77777777"/>
          <w:p w:rsidR="00D802A4" w:rsidRDefault="005650D6" w14:paraId="229F68FE" w14:textId="77777777">
            <w:r>
              <w:t>To cope with a risk of potentially reproducing discrimination against women based on gender, the project has implemented since inception the project Gender Action Plan. In addition, as part of its regular and strategic grant review process, women empowerment was included as a key criterion for selection. Moreover, a gender focal point was designated in the National Steering Committee, in order to streamline the gender dimensions and further reduce the risk of discrimination based on gender, throughout the e</w:t>
            </w:r>
            <w:r>
              <w:t>ntire project cycle.</w:t>
            </w:r>
          </w:p>
          <w:p w:rsidR="00D802A4" w:rsidRDefault="00D802A4" w14:paraId="588BA90C" w14:textId="77777777"/>
          <w:p w:rsidR="00D802A4" w:rsidRDefault="005650D6" w14:paraId="00E103DC" w14:textId="77777777">
            <w:r>
              <w:t>In line with the original SESP and stakeholder engagement plan, the project has undertaken consultations with Indigenous Peoples (IPs) representatives, using a Free, Prior and Informed Consent approach. IPs representatives were involved in the establishment of the project’s multi-stakeholder platforms.</w:t>
            </w:r>
          </w:p>
          <w:p w:rsidR="00D802A4" w:rsidRDefault="00D802A4" w14:paraId="535DC1DF" w14:textId="77777777"/>
          <w:p w:rsidR="00D802A4" w:rsidRDefault="005650D6" w14:paraId="4EE375A2" w14:textId="77777777">
            <w:r>
              <w:t>In order to mitigate a risk of poor site selection within or adjacent to critical habitats and/or environmentally sensitive areas, the project has taken steps to facilitate the reforestation and natural regeneration of degraded areas in all target landscapes. In addition, piloting the SGP overall ‘framework’ guidance on safeguards includes a rigorous social and environmental risk screening process that SGP Philippines will use throughout implementation.</w:t>
            </w:r>
          </w:p>
          <w:p w:rsidR="00D802A4" w:rsidRDefault="00D802A4" w14:paraId="0724A331" w14:textId="77777777"/>
          <w:p w:rsidR="00D802A4" w:rsidRDefault="005650D6" w14:paraId="23955263" w14:textId="77777777">
            <w:r>
              <w:t>Another risk identified pertained to the increasing negative impacts of climate change in the target landscapes, which may impede the implementation of the grants once awarded. To cope with this risk, the project has ensured that the grant proposals review process consider such dimension, ensuring that they fully take climate vulnerability into consideration. In addition, the project has repeated its intention to promote a variety of adaptive biodiversity and land resource planning and management actions in</w:t>
            </w:r>
            <w:r>
              <w:t xml:space="preserve"> all target areas, and to support the restoration of degraded ecosystems.</w:t>
            </w:r>
          </w:p>
          <w:p w:rsidR="00D802A4" w:rsidRDefault="00D802A4" w14:paraId="328673A9" w14:textId="77777777"/>
          <w:p w:rsidR="00D802A4" w:rsidRDefault="005650D6" w14:paraId="6B0FF01C" w14:textId="77777777">
            <w:r>
              <w:t>The project has continued collaboration with various stakeholders, including private sectors, in order to better approach and mitigate potential negative environmental impacts that commercial interests may have on the project activities. The project has also emphasized the need for grant proposals to upscale lessons learned and best practices in this field and to identify private sectors champions in each landscape to better integrate such dimensions into the landscape strategies.</w:t>
            </w:r>
          </w:p>
          <w:p w:rsidR="00D802A4" w:rsidRDefault="00D802A4" w14:paraId="5D7B5A95" w14:textId="77777777"/>
          <w:p w:rsidR="00D802A4" w:rsidRDefault="005650D6" w14:paraId="604EDC12" w14:textId="77777777">
            <w:r>
              <w:t>Some target areas face security threats due to illegal wildlife/natural resource trade/extraction in some communities. Aligning with its risk treatment identified at approval, the project has made repeated efforts to maintain strong relationships with the relevant government agencies responsible for endorsement, notably through the invitation of such agencies in the multi-stakeholder platforms.</w:t>
            </w:r>
          </w:p>
          <w:p w:rsidR="00D802A4" w:rsidRDefault="00D802A4" w14:paraId="4C5D857D" w14:textId="77777777"/>
          <w:p w:rsidR="00D802A4" w:rsidRDefault="005650D6" w14:paraId="3AD6FC47" w14:textId="77777777">
            <w:r>
              <w:t>To avoid funding initiatives which would lead to increased waste or pollution, the project has made mandatory for grant proposals to describe how they would manage waste. Such elements are being monitored during implementation.</w:t>
            </w:r>
          </w:p>
        </w:tc>
      </w:tr>
    </w:tbl>
    <w:p w:rsidR="00D802A4" w:rsidRDefault="005650D6" w14:paraId="5F2A30FA" w14:textId="77777777">
      <w:pPr>
        <w:pStyle w:val="Heading2"/>
      </w:pPr>
      <w:bookmarkStart w:name="_Toc14" w:id="14"/>
      <w:r>
        <w:t>B) SES Implementation</w:t>
      </w:r>
      <w:bookmarkEnd w:id="14"/>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8993"/>
      </w:tblGrid>
      <w:tr w:rsidR="00D802A4" w14:paraId="25215F6F" w14:textId="77777777">
        <w:tc>
          <w:tcPr>
            <w:tcW w:w="10000" w:type="dxa"/>
            <w:shd w:val="clear" w:color="auto" w:fill="D9D9D9"/>
            <w:noWrap/>
          </w:tcPr>
          <w:p w:rsidR="00D802A4" w:rsidRDefault="005650D6" w14:paraId="70A5D676" w14:textId="77777777">
            <w:r>
              <w:rPr>
                <w:b/>
                <w:bCs/>
              </w:rPr>
              <w:t>2b) Provide an update on progress, challenges and outcomes related to stakeholder engagement based on the description in the Stakeholder Engagement Plan or equivalent documentation submitted at CEO Endorsement/Approval.</w:t>
            </w:r>
          </w:p>
        </w:tc>
      </w:tr>
      <w:tr w:rsidR="00D802A4" w14:paraId="745C35AF" w14:textId="77777777">
        <w:tc>
          <w:tcPr>
            <w:tcW w:w="10000" w:type="dxa"/>
            <w:noWrap/>
          </w:tcPr>
          <w:p w:rsidR="00D802A4" w:rsidRDefault="005650D6" w14:paraId="0C56F4D4" w14:textId="77777777">
            <w:r>
              <w:t>The Joint National Steering Committee (NSC) meetings discussed several critical aspects related to project implementation under the SGP-7 initiative. The NSC evaluated grant proposals, providing detailed recommendations for ensuring alignment with biodiversity conservation objectives, community engagement, and sustainability measures. They emphasized the importance of transparency, benefit-sharing arrangements, compliance with environmental safeguards (such as FPIC processes for projects involving Indigenou</w:t>
            </w:r>
            <w:r>
              <w:t>s Peoples), and capacity-building activities. Specific attention was given to clarifying and improving project scopes, sustainability strategies, co-financing mechanisms, and ensuring compliance with local and national regulations. The NSC highlighted challenges such as delays in project implementation, the importance of timely liquidation reports, establishing effective monitoring and evaluation frameworks, and addressing coordination issues among stakeholders, particularly involving local government units</w:t>
            </w:r>
            <w:r>
              <w:t xml:space="preserve"> and community organizations.</w:t>
            </w:r>
          </w:p>
          <w:p w:rsidR="00D802A4" w:rsidRDefault="00D802A4" w14:paraId="7EFB11C6" w14:textId="77777777"/>
          <w:p w:rsidR="00D802A4" w:rsidRDefault="005650D6" w14:paraId="00E5D1F1" w14:textId="77777777">
            <w:r>
              <w:t>Updates on Progress, Challenges, and Outcomes</w:t>
            </w:r>
          </w:p>
          <w:p w:rsidR="00D802A4" w:rsidRDefault="005650D6" w14:paraId="0BB3CB84" w14:textId="77777777">
            <w:r>
              <w:t>Progress:</w:t>
            </w:r>
          </w:p>
          <w:p w:rsidR="00D802A4" w:rsidRDefault="005650D6" w14:paraId="0B934CF1" w14:textId="77777777">
            <w:r>
              <w:t>•</w:t>
            </w:r>
            <w:r>
              <w:tab/>
            </w:r>
            <w:r>
              <w:t>Five multi-stakeholder platforms operational, including four LRTCs and the revitalized Civil Society Organizations (CSOs) Alliance Network in Catubig Watershed, achieving an average of 46.5% women's participation</w:t>
            </w:r>
          </w:p>
          <w:p w:rsidR="00D802A4" w:rsidRDefault="005650D6" w14:paraId="2CFB6B31" w14:textId="77777777">
            <w:r>
              <w:t>•</w:t>
            </w:r>
            <w:r>
              <w:tab/>
            </w:r>
            <w:r>
              <w:t>Landscape strategies finalized and approved across all four project landscapes, fully integrating gender-responsive strategies, with clear thematic interventions tailored to each landscape</w:t>
            </w:r>
          </w:p>
          <w:p w:rsidR="00D802A4" w:rsidRDefault="005650D6" w14:paraId="444C0A62" w14:textId="77777777">
            <w:r>
              <w:t>•</w:t>
            </w:r>
            <w:r>
              <w:tab/>
            </w:r>
            <w:r>
              <w:t>NGO Hubs facilitated stakeholder coordination, stakeholder mapping, gender mainstreaming, and stakeholder engagement, enhancing inclusivity</w:t>
            </w:r>
          </w:p>
          <w:p w:rsidR="00D802A4" w:rsidRDefault="005650D6" w14:paraId="3437300D" w14:textId="77777777">
            <w:r>
              <w:t>•</w:t>
            </w:r>
            <w:r>
              <w:tab/>
            </w:r>
            <w:r>
              <w:t>Communication plans and visibility protocols have been finalized and adopted</w:t>
            </w:r>
          </w:p>
          <w:p w:rsidR="00D802A4" w:rsidRDefault="005650D6" w14:paraId="443B27CE" w14:textId="77777777">
            <w:r>
              <w:t>Challenges:</w:t>
            </w:r>
          </w:p>
          <w:p w:rsidR="00D802A4" w:rsidRDefault="005650D6" w14:paraId="2C72F5CF" w14:textId="77777777">
            <w:r>
              <w:t>•</w:t>
            </w:r>
            <w:r>
              <w:tab/>
            </w:r>
            <w:r>
              <w:t>Delays occurred in establishing key safeguard measures, specifically the Grievance Redress Mechanism (GRM), though SES measures were integrated into grant templates.</w:t>
            </w:r>
          </w:p>
          <w:p w:rsidR="00D802A4" w:rsidRDefault="005650D6" w14:paraId="514CD639" w14:textId="77777777">
            <w:r>
              <w:t>•</w:t>
            </w:r>
            <w:r>
              <w:tab/>
            </w:r>
            <w:r>
              <w:t>Geographical spread and communication challenges hindered regular monitoring, leading to incomplete initial reporting from NGO hubs, requiring improved coordination moving forward.</w:t>
            </w:r>
          </w:p>
          <w:p w:rsidR="00D802A4" w:rsidRDefault="005650D6" w14:paraId="0BC32240" w14:textId="77777777">
            <w:r>
              <w:t>Outcomes:</w:t>
            </w:r>
          </w:p>
          <w:p w:rsidR="00D802A4" w:rsidRDefault="005650D6" w14:paraId="5805A70C" w14:textId="77777777">
            <w:r>
              <w:t>•</w:t>
            </w:r>
            <w:r>
              <w:tab/>
            </w:r>
            <w:r>
              <w:t>Strong governance frameworks led by the multi-stakeholder platforms effectively guided landscape strategies and grant implementations.</w:t>
            </w:r>
          </w:p>
          <w:p w:rsidR="00D802A4" w:rsidRDefault="005650D6" w14:paraId="6BE6613B" w14:textId="77777777">
            <w:r>
              <w:t>•</w:t>
            </w:r>
            <w:r>
              <w:tab/>
            </w:r>
            <w:r>
              <w:t>Notable empowerment of women through active roles in governance structures, conservation activities, and community planning processes.</w:t>
            </w:r>
          </w:p>
          <w:p w:rsidR="00D802A4" w:rsidRDefault="005650D6" w14:paraId="002D0787" w14:textId="77777777">
            <w:r>
              <w:t>•</w:t>
            </w:r>
            <w:r>
              <w:tab/>
            </w:r>
            <w:r>
              <w:t>Enhanced local ownership and deeper stakeholder engagement facilitated by transitioning LRTC facilitation from the PMU to local NGO hubs.</w:t>
            </w:r>
          </w:p>
          <w:p w:rsidR="00D802A4" w:rsidRDefault="005650D6" w14:paraId="5A867984" w14:textId="77777777">
            <w:r>
              <w:t>•</w:t>
            </w:r>
            <w:r>
              <w:tab/>
            </w:r>
            <w:r>
              <w:t>Continuous knowledge documentation through structured tools and regular grantee reporting, setting the groundwork for upcoming comprehensive case studies.</w:t>
            </w:r>
          </w:p>
          <w:p w:rsidR="00D802A4" w:rsidRDefault="00D802A4" w14:paraId="73F0B4FD" w14:textId="77777777"/>
        </w:tc>
      </w:tr>
    </w:tbl>
    <w:p w:rsidR="00D802A4" w:rsidRDefault="00D802A4" w14:paraId="10846A72" w14:textId="77777777">
      <w:pPr>
        <w:sectPr w:rsidR="00D802A4">
          <w:pgSz w:w="11905" w:h="16837" w:orient="portrait"/>
          <w:pgMar w:top="1440" w:right="1440" w:bottom="1440" w:left="1440" w:header="720" w:footer="720" w:gutter="0"/>
          <w:cols w:space="720"/>
        </w:sectPr>
      </w:pPr>
    </w:p>
    <w:p w:rsidR="00D802A4" w:rsidRDefault="005650D6" w14:paraId="42F4523C" w14:textId="77777777">
      <w:pPr>
        <w:pStyle w:val="Heading1"/>
      </w:pPr>
      <w:bookmarkStart w:name="_Toc15" w:id="15"/>
      <w:r>
        <w:t>Knowledge Management &amp; Communications</w:t>
      </w:r>
      <w:bookmarkEnd w:id="15"/>
    </w:p>
    <w:p w:rsidR="00D802A4" w:rsidRDefault="00D802A4" w14:paraId="320391D4" w14:textId="77777777">
      <w:pPr>
        <w:spacing w:after="0"/>
      </w:pPr>
    </w:p>
    <w:p w:rsidR="00D802A4" w:rsidRDefault="005650D6" w14:paraId="4DFE372D" w14:textId="77777777">
      <w:r>
        <w:t> </w:t>
      </w:r>
    </w:p>
    <w:p w:rsidR="00D802A4" w:rsidRDefault="005650D6" w14:paraId="2C9785ED" w14:textId="77777777">
      <w:r>
        <w:t xml:space="preserve">The </w:t>
      </w:r>
      <w:r>
        <w:rPr>
          <w:b/>
          <w:bCs/>
        </w:rPr>
        <w:t>Project Manager</w:t>
      </w:r>
      <w:r>
        <w:t xml:space="preserve"> must complete the three questions below.</w:t>
      </w:r>
    </w:p>
    <w:tbl>
      <w:tblPr>
        <w:tblW w:w="0" w:type="auto"/>
        <w:tblInd w:w="20" w:type="dxa"/>
        <w:tblBorders>
          <w:top w:val="single" w:color="000000" w:sz="5" w:space="0"/>
          <w:left w:val="single" w:color="000000" w:sz="5" w:space="0"/>
          <w:bottom w:val="single" w:color="000000" w:sz="5" w:space="0"/>
          <w:right w:val="single" w:color="000000" w:sz="5" w:space="0"/>
          <w:insideH w:val="single" w:color="000000" w:sz="5" w:space="0"/>
          <w:insideV w:val="single" w:color="000000" w:sz="5" w:space="0"/>
        </w:tblBorders>
        <w:tblCellMar>
          <w:top w:w="20" w:type="dxa"/>
          <w:left w:w="20" w:type="dxa"/>
          <w:bottom w:w="20" w:type="dxa"/>
          <w:right w:w="20" w:type="dxa"/>
        </w:tblCellMar>
        <w:tblLook w:val="04A0" w:firstRow="1" w:lastRow="0" w:firstColumn="1" w:lastColumn="0" w:noHBand="0" w:noVBand="1"/>
      </w:tblPr>
      <w:tblGrid>
        <w:gridCol w:w="8993"/>
      </w:tblGrid>
      <w:tr w:rsidR="00D802A4" w14:paraId="68ED27A5" w14:textId="77777777">
        <w:tc>
          <w:tcPr>
            <w:tcW w:w="10000" w:type="dxa"/>
            <w:shd w:val="clear" w:color="auto" w:fill="D9D9D9"/>
            <w:noWrap/>
          </w:tcPr>
          <w:p w:rsidR="00D802A4" w:rsidRDefault="005650D6" w14:paraId="4BF9A100" w14:textId="77777777">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rsidR="00D802A4" w:rsidRDefault="00D802A4" w14:paraId="42A256EA" w14:textId="77777777"/>
        </w:tc>
      </w:tr>
      <w:tr w:rsidR="00D802A4" w14:paraId="665ACFC8" w14:textId="77777777">
        <w:tc>
          <w:tcPr>
            <w:tcW w:w="10000" w:type="dxa"/>
            <w:noWrap/>
          </w:tcPr>
          <w:p w:rsidR="00D802A4" w:rsidRDefault="005650D6" w14:paraId="6D16E092" w14:textId="77777777">
            <w:r>
              <w:t>During this reporting period, the project made significant progress in KMC, completing both the National Communication Plan and the Visibility and Communications Protocol. The National KM Strategy (KMS) is now in its final drafting stage, pending inputs from the NGO Hubs. As reported in the indicator above, these have been presented to the NSC-PTRC this June 2025 with no further comments from the body. The National Communications Plan, anchored in the results of the 2023 baseline assessment and communicatio</w:t>
            </w:r>
            <w:r>
              <w:t>ns survey, outlines clear messaging, core themes, and audience segmentation for the SGP-7 priority landscapes/seascapes. Written to be both strategic and practical, the plan is complemented by the Visibility and Communications Protocol—a detailed guide for consistent, ethical, and coordinated messaging across platforms and partners. This protocol includes standards for logo usage, content development, consent, branding, documentation, and social media, making it a backbone for shared visibility efforts acro</w:t>
            </w:r>
            <w:r>
              <w:t>ss the SGP-7 network.</w:t>
            </w:r>
          </w:p>
          <w:p w:rsidR="00D802A4" w:rsidRDefault="005650D6" w14:paraId="21B23601" w14:textId="77777777">
            <w:r>
              <w:t>In parallel, the SGP-7 KMS serves as a guiding framework as well. It articulates the project’s thrust in resilience through a culture of continuous learning, collaboration, and adaptive knowledge sharing. The strategy identifies pathways across the program: from knowledge generation and capture, to organization, sharing, and utilization. It also defines digital platforms, key outputs, and the integration of KM and communication. The KMS lays down objectives that incorporate these. Some of the planned activi</w:t>
            </w:r>
            <w:r>
              <w:t>ties and products that will be developed with the planning inputs of the Landscape Level NGO Hubs are the following:</w:t>
            </w:r>
          </w:p>
          <w:p w:rsidR="00D802A4" w:rsidRDefault="00D802A4" w14:paraId="4CCE8CAB" w14:textId="77777777"/>
          <w:p w:rsidR="00D802A4" w:rsidRDefault="005650D6" w14:paraId="2AF760D4" w14:textId="77777777">
            <w:r>
              <w:t xml:space="preserve">- SGP-7 Landscape Exchange and Partnership (LEAP): A cross-site exercise that hopes to bring grantees to other sites from the four target landscape/seascapes to share stories, challenges, and insights. More than just a simple field visit, LEAP is a profound lateral exchange or journey that builds on reciprocity, allowing communities to learn from one another, especially those working in similar ecosystems or tackling shared concerns. Through immersing identified grantees in other contexts and environments, </w:t>
            </w:r>
            <w:r>
              <w:t>the participants have the chance to have a closer look of each other’s areas of operation. The exchanges are suggested to revolve around key themes that reflect the outcomes and objectives of SGP-7: environmental protection and natural resource management, sustainable livelihoods and enterprise development, capacity building and organizational strengthening, governance and rights-based approaches, knowledge management, learning, and communication, social development and inclusion, multi-stakeholder collabor</w:t>
            </w:r>
            <w:r>
              <w:t>ation and networking, and innovation and emerging practices. These activities will be carried out in the next reporting period until project closure.</w:t>
            </w:r>
          </w:p>
          <w:p w:rsidR="00D802A4" w:rsidRDefault="00D802A4" w14:paraId="6F4A5D49" w14:textId="77777777"/>
          <w:p w:rsidR="00D802A4" w:rsidRDefault="005650D6" w14:paraId="12E9A32C" w14:textId="77777777">
            <w:r>
              <w:t>- SGP-7 Exchange for Change or X4C: A community-to-community learning exchange forum event where storytelling panels and thematic discussions are put in the spotlight so that grantees can share practices that can be adopted, adapted, and scaled up. This also features an awarding and recognition segment for grantees with excellent delivery, feedback, and reporting to uplift a culture of shared success.</w:t>
            </w:r>
          </w:p>
          <w:p w:rsidR="00D802A4" w:rsidRDefault="00D802A4" w14:paraId="282586CF" w14:textId="77777777"/>
          <w:p w:rsidR="00D802A4" w:rsidRDefault="005650D6" w14:paraId="42B1730A" w14:textId="77777777">
            <w:r>
              <w:t xml:space="preserve">- SGP-7 More Than A Market Expo: Recognizing that there are BDFEs supported by the project, the expo can provide several bottom-to-top opportunities– as a market place for the enterprises, a knowledge fair and exhibition, and, lastly, for peer learning and networking for the grantees. This hopes to bring together the enterprises, other grantees and projects, consumers, and suppliers in one event. This covers the idea of bringing products from the forest and seas straight to our tables, and stories from the </w:t>
            </w:r>
            <w:r>
              <w:t>field directly to the audiences.</w:t>
            </w:r>
          </w:p>
          <w:p w:rsidR="00D802A4" w:rsidRDefault="00D802A4" w14:paraId="2C97172F" w14:textId="77777777"/>
          <w:p w:rsidR="00D802A4" w:rsidRDefault="005650D6" w14:paraId="3B6123AA" w14:textId="77777777">
            <w:r>
              <w:t>- SGP-7 Flagship Knowledge Products: (1) SGP-7 Legacy Book, and (2) SGP-7 Compiled Thematic Booklets– The legacy book, while still no working title, will aim to contain the overall impact of the project’s journey. It will be narrative in nature, and mostly story-based. Also, it will target the broader audience. The compilation of thematic booklets, however, is suggested to cover three themes with the following working titles: (a) “Nurtured Nature, Natured Nurturing” on BDFEs, (b) “In Her Hands” on women lea</w:t>
            </w:r>
            <w:r>
              <w:t>dership, and (c) “Those Who Hold the Line” on governance, IPs, and tenure. Compared to the legacy book, the goal of the booklets is to provide a more technical perspective of the implemented grants to further inform policy and be as reference to other implementers, LGUs, and even future grantees. The booklets will only contain 2-3 case samples per theme. Should other themes emerge upon planning, the project will consider adding.</w:t>
            </w:r>
          </w:p>
          <w:p w:rsidR="00D802A4" w:rsidRDefault="00D802A4" w14:paraId="18A21670" w14:textId="77777777"/>
          <w:p w:rsidR="00D802A4" w:rsidRDefault="005650D6" w14:paraId="1D438CD3" w14:textId="77777777">
            <w:r>
              <w:t>- Popularization of the Landscape Strategies and #Youth4Biodiversity Camp Manuals: These versions of the technical documents are envisioned to be more visually engaging, and easy-to-understand. From the project’s experience, presenting the landscape strategies, most especially, to the stakeholders was a challenge. This aims to bridge the gap between proposal writing, planning, and actual implementation.</w:t>
            </w:r>
          </w:p>
          <w:p w:rsidR="00D802A4" w:rsidRDefault="00D802A4" w14:paraId="437E2EBA" w14:textId="77777777"/>
          <w:p w:rsidR="00D802A4" w:rsidRDefault="005650D6" w14:paraId="5AD378A0" w14:textId="77777777">
            <w:r>
              <w:t>SGP-7 KMC emphasizes inclusivity, flexibility, and localization—recognizing the diversity of grantees’ capacities and the richness of indigenous and community knowledge systems. It outlines key goals such as enabling effective knowledge transfer, fostering cross-sectoral collaboration, supporting adaptive practices, and amplifying collective impact. The following are outputs that are already being used, operational, or in the works:</w:t>
            </w:r>
          </w:p>
          <w:p w:rsidR="00D802A4" w:rsidRDefault="00D802A4" w14:paraId="7DC770E8" w14:textId="77777777"/>
          <w:p w:rsidR="00D802A4" w:rsidRDefault="005650D6" w14:paraId="67436BDD" w14:textId="77777777">
            <w:r>
              <w:t>- https://sgp7ph.monday.com/: Project management tool used and being developed by the PMU in monitoring and evaluation as well as keeping track of progress, deadlines, deliverables. This also contains SGP-7 Local Impact NetworK (LINK), a database or directory of contact details of the different governance platforms, and, soon to be added, experts, and other relevant stakeholders.</w:t>
            </w:r>
          </w:p>
          <w:p w:rsidR="00D802A4" w:rsidRDefault="00D802A4" w14:paraId="208DF998" w14:textId="77777777"/>
          <w:p w:rsidR="00D802A4" w:rsidRDefault="005650D6" w14:paraId="01ACFCD0" w14:textId="77777777">
            <w:r>
              <w:t>- https://sgp7.fpe.ph/: Domain of the SGP-7 website that will serve as a central hub for showcasing project updates, grantee stories, knowledge products, and dashboards. It aims to enhance visibility, and provide accessible information for stakeholders, partners, and the general public. Development and design are set to start Q3 of 2025.</w:t>
            </w:r>
          </w:p>
          <w:p w:rsidR="00D802A4" w:rsidRDefault="00D802A4" w14:paraId="646B5AB4" w14:textId="77777777"/>
          <w:p w:rsidR="00D802A4" w:rsidRDefault="005650D6" w14:paraId="05838C81" w14:textId="77777777">
            <w:r>
              <w:t>- Templates for the Site-Specific Communication Plans: Sent to the Landscape Level NGO Hubs. Draft plans by the hubs have been sent back to the PMU and will be discussed further for project-wide alignment.</w:t>
            </w:r>
          </w:p>
          <w:p w:rsidR="00D802A4" w:rsidRDefault="00D802A4" w14:paraId="22B1E491" w14:textId="77777777"/>
          <w:p w:rsidR="00D802A4" w:rsidRDefault="005650D6" w14:paraId="1D9A4EE4" w14:textId="77777777">
            <w:r>
              <w:t>Already, the project has begun implementing elements of this evolving KMC: the cross-site KM and communications planning and alignment workshops are underway. As part of its continuing support to the hubs, the PMU has started engaging each site through their communication plans to better understand emerging training needs in KMC. Through this process, hubs have been able to reflect on their current capacity and identify specific areas where additional support would strengthen their storytelling and outreach</w:t>
            </w:r>
            <w:r>
              <w:t xml:space="preserve"> work. There is growing interest in phone photography and basic content editing, recognizing the accessibility of mobile tools for field-based communication.</w:t>
            </w:r>
          </w:p>
          <w:p w:rsidR="00D802A4" w:rsidRDefault="00D802A4" w14:paraId="43D14DDB" w14:textId="77777777"/>
          <w:p w:rsidR="00D802A4" w:rsidRDefault="005650D6" w14:paraId="4FA499E8" w14:textId="77777777">
            <w:r>
              <w:t>In addition, hubs have requested access to ready-to-use communication design templates, such as layouts for posters, brochures, and social media cards, to maintain a consistent and professional look for their materials. In SIPLAS, support was specifically requested for script development, editing, and narration.</w:t>
            </w:r>
          </w:p>
          <w:p w:rsidR="00D802A4" w:rsidRDefault="00D802A4" w14:paraId="78B140D4" w14:textId="77777777"/>
          <w:p w:rsidR="00D802A4" w:rsidRDefault="005650D6" w14:paraId="43110644" w14:textId="77777777">
            <w:r>
              <w:t>The PMU plans to integrate these training and support needs into the upcoming alignment meeting, where detailed planning and calendaring will take place in coordination with the hubs and the wider KMC team including focals from the regular grantees.</w:t>
            </w:r>
          </w:p>
          <w:p w:rsidR="00D802A4" w:rsidRDefault="005650D6" w14:paraId="7F2A4547" w14:textId="77777777">
            <w:r>
              <w:t>Field documentation continues to capture and surface learnings from the ground. The following templates have been incorporated as well in the M&amp;E framework of the project: (1) Landscape-level Reflection and Story Capture Tool for Open-ended Insights, FGDs, KIIs, and Community Talks; and, (2) Story-based Monitoring Tool for Lessons Learned, Best Practices, Challenges, and Narratives.</w:t>
            </w:r>
          </w:p>
          <w:p w:rsidR="00D802A4" w:rsidRDefault="00D802A4" w14:paraId="13B0A830" w14:textId="77777777"/>
          <w:p w:rsidR="00D802A4" w:rsidRDefault="005650D6" w14:paraId="7B30E26C" w14:textId="77777777">
            <w:r>
              <w:t>As for social media engagement, the project prioritized content that is more meaningful and aligned with our key themes in line with the umbrella KMC strategy and plan such as emphasis on strengthened networks and partnerships, and highlighting grantee activities. This focus resulted in a total engagement reach of 40,346 and 65,932 views in the Foundation for the Philippine Environment Facebook page. The project is also set up on this particular platform following the results of the 2023 communications surv</w:t>
            </w:r>
            <w:r>
              <w:t>ey in terms of stakeholder preference and access, and expects engagement to grow further as the umbrella KMC plans are now being applied at site-level.</w:t>
            </w:r>
          </w:p>
          <w:p w:rsidR="00D802A4" w:rsidRDefault="005650D6" w14:paraId="1D6B30CA" w14:textId="77777777">
            <w:r>
              <w:t>No publications have been released this reporting period, as most of grantee implementations have just begun. Although 23 grantee posters were produced and shared during the Ceremonial Awarding event that was attended by NGAs, international and local partners. The timing of the publication provides an opportunity to develop content that is relevant and reflective of actual on-the-ground results. The unit is also working closely with the NGO Hubs to systematize the documentation process to ensure that future</w:t>
            </w:r>
            <w:r>
              <w:t xml:space="preserve"> publications are consistent with implementation results.</w:t>
            </w:r>
          </w:p>
          <w:p w:rsidR="00D802A4" w:rsidRDefault="00D802A4" w14:paraId="343B69E9" w14:textId="77777777"/>
        </w:tc>
      </w:tr>
      <w:tr w:rsidR="00D802A4" w14:paraId="30C28ABD" w14:textId="77777777">
        <w:tc>
          <w:tcPr>
            <w:tcW w:w="10000" w:type="dxa"/>
            <w:shd w:val="clear" w:color="auto" w:fill="D9D9D9"/>
            <w:noWrap/>
          </w:tcPr>
          <w:p w:rsidR="00D802A4" w:rsidRDefault="005650D6" w14:paraId="44E21814" w14:textId="77777777">
            <w:r>
              <w:rPr>
                <w:b/>
                <w:bCs/>
              </w:rPr>
              <w:t>2) Please provide URLs specific to this project in the relevant field below.  Please categorize the URLs appropriately (for example: project websites, social media sites, media coverage, etc.)</w:t>
            </w:r>
          </w:p>
        </w:tc>
      </w:tr>
      <w:tr w:rsidR="00D802A4" w14:paraId="707D415D" w14:textId="77777777">
        <w:tc>
          <w:tcPr>
            <w:tcW w:w="10000" w:type="dxa"/>
            <w:noWrap/>
          </w:tcPr>
          <w:p w:rsidR="00D802A4" w:rsidRDefault="005650D6" w14:paraId="32513579" w14:textId="77777777">
            <w:r>
              <w:t>https://docs.google.com/spreadsheets/d/1uGwo3yua_y86HE5KhlFcI0zv-Yph3fBV/edit?gid=1731188696#gid=1731188696</w:t>
            </w:r>
          </w:p>
        </w:tc>
      </w:tr>
      <w:tr w:rsidR="00D802A4" w14:paraId="3D072074" w14:textId="77777777">
        <w:tc>
          <w:tcPr>
            <w:tcW w:w="10000" w:type="dxa"/>
            <w:shd w:val="clear" w:color="auto" w:fill="D9D9D9"/>
            <w:noWrap/>
          </w:tcPr>
          <w:p w:rsidR="00D802A4" w:rsidRDefault="005650D6" w14:paraId="104187E5" w14:textId="77777777">
            <w:r>
              <w:rPr>
                <w:b/>
                <w:bCs/>
              </w:rPr>
              <w:t>3) In the PIR platform, please upload any supporting files, including the project's Communications Strategy, photos, videos, stories and other communication/knowledge materials.</w:t>
            </w:r>
          </w:p>
        </w:tc>
      </w:tr>
      <w:tr w:rsidR="00D802A4" w14:paraId="5C454F5C" w14:textId="77777777">
        <w:tc>
          <w:tcPr>
            <w:tcW w:w="10000" w:type="dxa"/>
            <w:noWrap/>
          </w:tcPr>
          <w:p w:rsidR="00D802A4" w:rsidRDefault="005650D6" w14:paraId="5574C7D3" w14:textId="77777777">
            <w:pPr>
              <w:spacing w:after="0"/>
            </w:pPr>
            <w:r>
              <w:t>Indicator 16. Knowledge Management and Communications_PIR Copy.xlsx</w:t>
            </w:r>
          </w:p>
          <w:p w:rsidR="00D802A4" w:rsidRDefault="00D802A4" w14:paraId="7C22C0A4" w14:textId="77777777"/>
        </w:tc>
      </w:tr>
    </w:tbl>
    <w:p w:rsidR="00D802A4" w:rsidRDefault="00D802A4" w14:paraId="6A0258F5" w14:textId="77777777">
      <w:pPr>
        <w:sectPr w:rsidR="00D802A4">
          <w:pgSz w:w="11905" w:h="16837" w:orient="portrait"/>
          <w:pgMar w:top="1440" w:right="1440" w:bottom="1440" w:left="1440" w:header="720" w:footer="720" w:gutter="0"/>
          <w:cols w:space="720"/>
        </w:sectPr>
      </w:pPr>
    </w:p>
    <w:p w:rsidR="00D802A4" w:rsidRDefault="005650D6" w14:paraId="771B955A" w14:textId="77777777">
      <w:pPr>
        <w:pStyle w:val="Heading1"/>
      </w:pPr>
      <w:bookmarkStart w:name="_Toc16" w:id="16"/>
      <w:r>
        <w:t>Annex - Ratings Definitions</w:t>
      </w:r>
      <w:bookmarkEnd w:id="16"/>
    </w:p>
    <w:p w:rsidR="00D802A4" w:rsidRDefault="005650D6" w14:paraId="783DA28A" w14:textId="77777777">
      <w:r>
        <w:rPr>
          <w:b/>
          <w:bCs/>
        </w:rPr>
        <w:t>Development Objective Progress Ratings Definitions</w:t>
      </w:r>
    </w:p>
    <w:p w:rsidR="00D802A4" w:rsidRDefault="005650D6" w14:paraId="6F918A48" w14:textId="77777777">
      <w:r>
        <w:t>(HS) Highly Satisfactory: Project is on track to exceed its end-of-project targets by project closure. The project can be presented as 'outstanding practice'.</w:t>
      </w:r>
    </w:p>
    <w:p w:rsidR="00D802A4" w:rsidRDefault="005650D6" w14:paraId="3D72D9A1" w14:textId="77777777">
      <w:r>
        <w:t>(S) Satisfactory: Project is on track to achieve its end-of-project targets by project closure and any minor challenges are being addressed through an adaptive management plan. The project can be presented as 'good practice'.</w:t>
      </w:r>
    </w:p>
    <w:p w:rsidR="00D802A4" w:rsidRDefault="005650D6" w14:paraId="7A13B77F" w14:textId="77777777">
      <w:r>
        <w:t>(MS) Moderately Satisfactory: Project is on track to achieve its end-of-project targets by project closure and minor challenges can be addressed if an adaptive management plan is promptly put in place.</w:t>
      </w:r>
    </w:p>
    <w:p w:rsidR="00D802A4" w:rsidRDefault="005650D6" w14:paraId="61738450" w14:textId="77777777">
      <w:r>
        <w:t>(MU) Moderately Unsatisfactory: Project is off track and is expected to only partially achieve its end-of-project targets by project closure. Project results might still be achieved by project closure if adaptive management is undertaken immediately.</w:t>
      </w:r>
    </w:p>
    <w:p w:rsidR="00D802A4" w:rsidRDefault="005650D6" w14:paraId="27A7D099" w14:textId="77777777">
      <w:r>
        <w:t>(U) Unsatisfactory: Project is off track and is expected to only partially achieve its end-of-project targets by project closure. Project results might be partially achieved by project closure if major adaptive management is undertaken immediately.</w:t>
      </w:r>
    </w:p>
    <w:p w:rsidR="00D802A4" w:rsidRDefault="005650D6" w14:paraId="6BFA47C2" w14:textId="77777777">
      <w:r>
        <w:t>(HU) Highly Unsatisfactory: Project is off track and is not expected to achieve its end-of-project targets by project closure and adaptive management is not expected to materialize.</w:t>
      </w:r>
    </w:p>
    <w:p w:rsidR="00D802A4" w:rsidRDefault="00D802A4" w14:paraId="7B9FD6EF" w14:textId="77777777"/>
    <w:p w:rsidR="00D802A4" w:rsidRDefault="005650D6" w14:paraId="3E057999" w14:textId="77777777">
      <w:r>
        <w:rPr>
          <w:b/>
          <w:bCs/>
        </w:rPr>
        <w:t>Implementation Progress Ratings Definitions</w:t>
      </w:r>
    </w:p>
    <w:p w:rsidR="00D802A4" w:rsidRDefault="005650D6" w14:paraId="7316B646" w14:textId="77777777">
      <w:r>
        <w:t>(HS) Highly Satisfactory: Implementation is exceeding expectations. Implementation of all outputs/activities is fully on track, proceeding as planned, The implementation of the project can be presented as 'outstanding practice'.</w:t>
      </w:r>
    </w:p>
    <w:p w:rsidR="00D802A4" w:rsidRDefault="005650D6" w14:paraId="495B9783" w14:textId="77777777">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rsidR="00D802A4" w:rsidRDefault="005650D6" w14:paraId="59D04EA3" w14:textId="77777777">
      <w:r>
        <w:t>(MS) Moderately Satisfactory: Implementation is proceeding as planned with minor challenges that have not yet been addressed. Implementation of most outputs/activities is on track with minor deviations.</w:t>
      </w:r>
    </w:p>
    <w:p w:rsidR="00D802A4" w:rsidRDefault="005650D6" w14:paraId="27659916" w14:textId="77777777">
      <w:r>
        <w:t>(MU) Moderately Unsatisfactory: Implementation is not proceeding as planned and faces implementation challenges. Implementation of many outputs/activities is off track Implementation progress could be improved if adaptive management is undertaken immediately.</w:t>
      </w:r>
    </w:p>
    <w:p w:rsidR="00D802A4" w:rsidRDefault="005650D6" w14:paraId="7FAE9A9C" w14:textId="77777777">
      <w:r>
        <w:t>(U) Unsatisfactory: Implementation is not proceeding as planned and faces major implementation challenges. Implementation of most outputs/activities is off track.</w:t>
      </w:r>
    </w:p>
    <w:p w:rsidR="00D802A4" w:rsidRDefault="005650D6" w14:paraId="686E46A9" w14:textId="77777777">
      <w:r>
        <w:t>(HU) Highly Unsatisfactory: Implementation is seriously under-performing. Implementation of all outputs/activities is severely off track.</w:t>
      </w:r>
    </w:p>
    <w:sectPr w:rsidR="00D802A4">
      <w:pgSz w:w="11905" w:h="16837"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50D6" w:rsidRDefault="005650D6" w14:paraId="62784858" w14:textId="77777777">
      <w:pPr>
        <w:spacing w:after="0" w:line="240" w:lineRule="auto"/>
      </w:pPr>
      <w:r>
        <w:separator/>
      </w:r>
    </w:p>
  </w:endnote>
  <w:endnote w:type="continuationSeparator" w:id="0">
    <w:p w:rsidR="005650D6" w:rsidRDefault="005650D6" w14:paraId="2BC567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802A4" w:rsidRDefault="005650D6" w14:paraId="0F641300" w14:textId="77777777">
    <w:pPr>
      <w:jc w:val="right"/>
    </w:pPr>
    <w:r>
      <w:t xml:space="preserve">Page </w:t>
    </w:r>
    <w:r>
      <w:fldChar w:fldCharType="begin"/>
    </w:r>
    <w:r>
      <w:instrText>PAGE</w:instrText>
    </w:r>
    <w:r>
      <w:fldChar w:fldCharType="separate"/>
    </w:r>
    <w:r w:rsidR="00AE5DE8">
      <w:rPr>
        <w:noProof/>
      </w:rPr>
      <w:t>1</w:t>
    </w:r>
    <w:r>
      <w:fldChar w:fldCharType="end"/>
    </w:r>
    <w:r>
      <w:t xml:space="preserve"> of </w:t>
    </w:r>
    <w:r>
      <w:fldChar w:fldCharType="begin"/>
    </w:r>
    <w:r>
      <w:instrText>NUMPAGES</w:instrText>
    </w:r>
    <w:r>
      <w:fldChar w:fldCharType="separate"/>
    </w:r>
    <w:r w:rsidR="00AE5DE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50D6" w:rsidRDefault="005650D6" w14:paraId="5596AEAE" w14:textId="77777777">
      <w:pPr>
        <w:spacing w:after="0" w:line="240" w:lineRule="auto"/>
      </w:pPr>
      <w:r>
        <w:separator/>
      </w:r>
    </w:p>
  </w:footnote>
  <w:footnote w:type="continuationSeparator" w:id="0">
    <w:p w:rsidR="005650D6" w:rsidRDefault="005650D6" w14:paraId="04562DB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802A4" w:rsidRDefault="005650D6" w14:paraId="19209201" w14:textId="77777777">
    <w:pPr>
      <w:jc w:val="right"/>
    </w:pPr>
    <w:r>
      <w:t>2025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7584E1"/>
    <w:multiLevelType w:val="multilevel"/>
    <w:tmpl w:val="11F6685C"/>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3270402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2A4"/>
    <w:rsid w:val="00182C13"/>
    <w:rsid w:val="005650D6"/>
    <w:rsid w:val="005664C1"/>
    <w:rsid w:val="00AE5DE8"/>
    <w:rsid w:val="00D802A4"/>
    <w:rsid w:val="00DA436A"/>
    <w:rsid w:val="00FC52AC"/>
    <w:rsid w:val="02C7DA2D"/>
    <w:rsid w:val="33A03C51"/>
    <w:rsid w:val="4C9839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44C00"/>
  <w15:docId w15:val="{29824B81-3303-834F-AC78-1DDD594D3D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hyperlink" Target="https://www.thegef.org/sites/default/files/documents/2022-04/GEF_R.08_31_GEF-8_Policy_Directions.pdf" TargetMode="External" Id="rId15" /><Relationship Type="http://schemas.openxmlformats.org/officeDocument/2006/relationships/image" Target="media/image1.gif"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thegef.org/council-meeting-documents/guidelines-project-and-program-cycle-policy-2020-update"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fficeCountry xmlns="d9cf0e28-81d2-4dc7-8b10-820d80ed680d">B0428 - Philippines - Manila</OfficeCountry>
    <DocumentStatus xmlns="d9cf0e28-81d2-4dc7-8b10-820d80ed680d">Final</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00119604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UNDP-PHL</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2024-07-01T04:00:00+00:00</DocCoverageStartDate>
    <FileClassificationMode xmlns="d9cf0e28-81d2-4dc7-8b10-820d80ed680d">Public</FileClassificationMode>
    <OutputNumber xmlns="d9cf0e28-81d2-4dc7-8b10-820d80ed680d">00116050</Output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9C1085-C91A-4290-9A84-68D55DA905C1}"/>
</file>

<file path=customXml/itemProps2.xml><?xml version="1.0" encoding="utf-8"?>
<ds:datastoreItem xmlns:ds="http://schemas.openxmlformats.org/officeDocument/2006/customXml" ds:itemID="{007602B4-F70C-4685-9CF3-9526CA0AF8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6D6836-E36E-481F-8F69-CE5C4F51DE3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Theresa Espino-Yap</dc:creator>
  <cp:keywords/>
  <dc:description/>
  <cp:lastModifiedBy>Kathleen Ivy Custodio</cp:lastModifiedBy>
  <cp:revision>5</cp:revision>
  <cp:lastPrinted>2025-09-22T08:38:00Z</cp:lastPrinted>
  <dcterms:created xsi:type="dcterms:W3CDTF">2026-01-05T01:17:00Z</dcterms:created>
  <dcterms:modified xsi:type="dcterms:W3CDTF">2026-01-05T01:35:27Z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docLang">
    <vt:lpwstr>en</vt:lpwstr>
  </property>
</Properties>
</file>